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A3BF" w14:textId="29759392" w:rsidR="008C1CC9" w:rsidRPr="00A14551" w:rsidRDefault="008C1CC9" w:rsidP="002813FD">
      <w:pPr>
        <w:jc w:val="center"/>
        <w:rPr>
          <w:b/>
          <w:bCs/>
          <w:color w:val="4472C4" w:themeColor="accent1"/>
          <w:sz w:val="20"/>
          <w:szCs w:val="20"/>
          <w:lang w:val="en-GB"/>
        </w:rPr>
      </w:pPr>
      <w:bookmarkStart w:id="0" w:name="_GoBack"/>
      <w:bookmarkEnd w:id="0"/>
      <w:r w:rsidRPr="00A14551">
        <w:rPr>
          <w:b/>
          <w:bCs/>
          <w:color w:val="4472C4" w:themeColor="accent1"/>
          <w:sz w:val="20"/>
          <w:szCs w:val="20"/>
          <w:lang w:val="en-GB"/>
        </w:rPr>
        <w:t>COVID-19 SUPPORT</w:t>
      </w:r>
      <w:r w:rsidR="00DF5407" w:rsidRPr="00A14551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  <w:r w:rsidR="00C43E47" w:rsidRPr="00A14551">
        <w:rPr>
          <w:b/>
          <w:bCs/>
          <w:color w:val="4472C4" w:themeColor="accent1"/>
          <w:sz w:val="20"/>
          <w:szCs w:val="20"/>
          <w:lang w:val="en-GB"/>
        </w:rPr>
        <w:t>–</w:t>
      </w:r>
      <w:r w:rsidR="00DF5407" w:rsidRPr="00A14551">
        <w:rPr>
          <w:b/>
          <w:bCs/>
          <w:color w:val="4472C4" w:themeColor="accent1"/>
          <w:sz w:val="20"/>
          <w:szCs w:val="20"/>
          <w:lang w:val="en-GB"/>
        </w:rPr>
        <w:t xml:space="preserve"> MOF</w:t>
      </w:r>
    </w:p>
    <w:p w14:paraId="6D462C5F" w14:textId="4E632A53" w:rsidR="00C43E47" w:rsidRPr="00A14551" w:rsidRDefault="005B1CE9" w:rsidP="00C43E47">
      <w:pPr>
        <w:rPr>
          <w:color w:val="4472C4" w:themeColor="accent1"/>
          <w:sz w:val="20"/>
          <w:szCs w:val="20"/>
          <w:u w:val="single"/>
          <w:lang w:val="en-GB"/>
        </w:rPr>
      </w:pPr>
      <w:bookmarkStart w:id="1" w:name="_Hlk36119600"/>
      <w:r w:rsidRPr="00A14551">
        <w:rPr>
          <w:color w:val="4472C4" w:themeColor="accent1"/>
          <w:sz w:val="20"/>
          <w:szCs w:val="20"/>
          <w:u w:val="single"/>
          <w:lang w:val="en-GB"/>
        </w:rPr>
        <w:t xml:space="preserve">French </w:t>
      </w:r>
      <w:r w:rsidR="00C43E47" w:rsidRPr="00A14551">
        <w:rPr>
          <w:color w:val="4472C4" w:themeColor="accent1"/>
          <w:sz w:val="20"/>
          <w:szCs w:val="20"/>
          <w:u w:val="single"/>
          <w:lang w:val="en-GB"/>
        </w:rPr>
        <w:t xml:space="preserve">Translation: </w:t>
      </w:r>
    </w:p>
    <w:p w14:paraId="4E05C63F" w14:textId="77777777" w:rsidR="00C43E47" w:rsidRPr="00A14551" w:rsidRDefault="00C43E47" w:rsidP="00C43E47">
      <w:pPr>
        <w:rPr>
          <w:color w:val="4472C4" w:themeColor="accent1"/>
          <w:sz w:val="20"/>
          <w:szCs w:val="20"/>
          <w:u w:val="single"/>
          <w:lang w:val="en-GB"/>
        </w:rPr>
      </w:pPr>
    </w:p>
    <w:bookmarkEnd w:id="1"/>
    <w:p w14:paraId="77B3A80E" w14:textId="0FCF560B" w:rsidR="008C1CC9" w:rsidRPr="002E0E3B" w:rsidRDefault="008C1CC9" w:rsidP="00CB3575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0"/>
          <w:szCs w:val="20"/>
          <w:u w:val="single"/>
          <w:lang w:val="fr-FR"/>
        </w:rPr>
      </w:pPr>
      <w:r w:rsidRPr="002E0E3B">
        <w:rPr>
          <w:b/>
          <w:bCs/>
          <w:color w:val="4472C4" w:themeColor="accent1"/>
          <w:sz w:val="20"/>
          <w:szCs w:val="20"/>
          <w:u w:val="single"/>
          <w:lang w:val="fr-FR"/>
        </w:rPr>
        <w:t xml:space="preserve">WAGE/ SALARY SUPPORT </w:t>
      </w:r>
    </w:p>
    <w:p w14:paraId="1C05174E" w14:textId="5B8D4176" w:rsidR="00B846D8" w:rsidRPr="00A14551" w:rsidRDefault="008C1CC9" w:rsidP="00D66BC2">
      <w:pPr>
        <w:jc w:val="center"/>
        <w:rPr>
          <w:color w:val="4472C4" w:themeColor="accent1"/>
          <w:sz w:val="20"/>
          <w:szCs w:val="20"/>
          <w:lang w:val="en-GB"/>
        </w:rPr>
      </w:pPr>
      <w:r w:rsidRPr="00A14551">
        <w:rPr>
          <w:color w:val="4472C4" w:themeColor="accent1"/>
          <w:sz w:val="20"/>
          <w:szCs w:val="20"/>
          <w:lang w:val="en-GB"/>
        </w:rPr>
        <w:t>COVID-19 Wage Assistance During Confinement/ Curfew Period</w:t>
      </w:r>
    </w:p>
    <w:p w14:paraId="46B5F6EA" w14:textId="41321D8D" w:rsidR="008D28DD" w:rsidRPr="002E0E3B" w:rsidRDefault="008D28DD" w:rsidP="008D28DD">
      <w:pPr>
        <w:rPr>
          <w:b/>
          <w:bCs/>
          <w:color w:val="4472C4" w:themeColor="accent1"/>
          <w:sz w:val="20"/>
          <w:szCs w:val="20"/>
          <w:u w:val="single"/>
          <w:lang w:val="fr-FR"/>
        </w:rPr>
      </w:pPr>
      <w:r w:rsidRPr="002E0E3B">
        <w:rPr>
          <w:b/>
          <w:bCs/>
          <w:color w:val="4472C4" w:themeColor="accent1"/>
          <w:sz w:val="20"/>
          <w:szCs w:val="20"/>
          <w:u w:val="single"/>
          <w:lang w:val="fr-FR"/>
        </w:rPr>
        <w:t>Ass</w:t>
      </w:r>
      <w:r w:rsidR="00D66BC2" w:rsidRPr="002E0E3B">
        <w:rPr>
          <w:b/>
          <w:bCs/>
          <w:color w:val="4472C4" w:themeColor="accent1"/>
          <w:sz w:val="20"/>
          <w:szCs w:val="20"/>
          <w:u w:val="single"/>
          <w:lang w:val="fr-FR"/>
        </w:rPr>
        <w:t>istance Salarial</w:t>
      </w:r>
    </w:p>
    <w:p w14:paraId="79084962" w14:textId="69D31DD1" w:rsidR="00106081" w:rsidRPr="002E0E3B" w:rsidRDefault="009B6723" w:rsidP="00106081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Les entreprises auront le droit de recevoir un montant équivalent à la masse salariale de base de 15 jours</w:t>
      </w:r>
      <w:r w:rsidR="002012CF">
        <w:rPr>
          <w:sz w:val="20"/>
          <w:szCs w:val="20"/>
          <w:lang w:val="fr-FR"/>
        </w:rPr>
        <w:t xml:space="preserve"> pour le mois de Mars 2020</w:t>
      </w:r>
      <w:r w:rsidRPr="002E0E3B">
        <w:rPr>
          <w:sz w:val="20"/>
          <w:szCs w:val="20"/>
          <w:lang w:val="fr-FR"/>
        </w:rPr>
        <w:t xml:space="preserve"> pour tous ses employés percevant un salaire de base mensuel pouvant atteindre 50 000 roupies sous réserve d'un plafond de </w:t>
      </w:r>
      <w:proofErr w:type="spellStart"/>
      <w:r w:rsidRPr="002E0E3B">
        <w:rPr>
          <w:sz w:val="20"/>
          <w:szCs w:val="20"/>
          <w:lang w:val="fr-FR"/>
        </w:rPr>
        <w:t>Rs</w:t>
      </w:r>
      <w:proofErr w:type="spellEnd"/>
      <w:r w:rsidRPr="002E0E3B">
        <w:rPr>
          <w:sz w:val="20"/>
          <w:szCs w:val="20"/>
          <w:lang w:val="fr-FR"/>
        </w:rPr>
        <w:t xml:space="preserve"> 12,500 par employé.</w:t>
      </w:r>
    </w:p>
    <w:p w14:paraId="3E659A84" w14:textId="77777777" w:rsidR="00E52BB4" w:rsidRPr="002E0E3B" w:rsidRDefault="00E52BB4" w:rsidP="00E52BB4">
      <w:pPr>
        <w:pStyle w:val="ListParagraph"/>
        <w:rPr>
          <w:sz w:val="20"/>
          <w:szCs w:val="20"/>
          <w:lang w:val="fr-FR"/>
        </w:rPr>
      </w:pPr>
    </w:p>
    <w:p w14:paraId="515A96A9" w14:textId="7974CD30" w:rsidR="00A13CA0" w:rsidRPr="002E0E3B" w:rsidRDefault="00CC047A" w:rsidP="00A13CA0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 xml:space="preserve">Les employeurs peuvent soumettre leur </w:t>
      </w:r>
      <w:r w:rsidR="002012CF">
        <w:rPr>
          <w:sz w:val="20"/>
          <w:szCs w:val="20"/>
          <w:lang w:val="fr-FR"/>
        </w:rPr>
        <w:t>demande</w:t>
      </w:r>
      <w:r w:rsidR="002012CF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 xml:space="preserve">en ligne. Le formulaire est disponible sur le site Web de la Mauritius Revenue </w:t>
      </w:r>
      <w:proofErr w:type="spellStart"/>
      <w:r w:rsidRPr="002E0E3B">
        <w:rPr>
          <w:sz w:val="20"/>
          <w:szCs w:val="20"/>
          <w:lang w:val="fr-FR"/>
        </w:rPr>
        <w:t>Authority</w:t>
      </w:r>
      <w:proofErr w:type="spellEnd"/>
      <w:r w:rsidRPr="002E0E3B">
        <w:rPr>
          <w:sz w:val="20"/>
          <w:szCs w:val="20"/>
          <w:lang w:val="fr-FR"/>
        </w:rPr>
        <w:t xml:space="preserve"> (MRA).</w:t>
      </w:r>
    </w:p>
    <w:p w14:paraId="1B52AD09" w14:textId="77777777" w:rsidR="00A13CA0" w:rsidRPr="002E0E3B" w:rsidRDefault="00A13CA0" w:rsidP="00A13CA0">
      <w:pPr>
        <w:pStyle w:val="ListParagraph"/>
        <w:rPr>
          <w:sz w:val="20"/>
          <w:szCs w:val="20"/>
          <w:lang w:val="fr-FR"/>
        </w:rPr>
      </w:pPr>
    </w:p>
    <w:p w14:paraId="1DDEC2F4" w14:textId="10F09836" w:rsidR="00BD3784" w:rsidRPr="002E0E3B" w:rsidRDefault="00A13CA0" w:rsidP="00A13CA0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Pour toute information ou assistance dans le cadre de ce programme, l</w:t>
      </w:r>
      <w:r w:rsidR="002012CF">
        <w:rPr>
          <w:sz w:val="20"/>
          <w:szCs w:val="20"/>
          <w:lang w:val="fr-FR"/>
        </w:rPr>
        <w:t>a MRA</w:t>
      </w:r>
      <w:r w:rsidRPr="002E0E3B">
        <w:rPr>
          <w:sz w:val="20"/>
          <w:szCs w:val="20"/>
          <w:lang w:val="fr-FR"/>
        </w:rPr>
        <w:t xml:space="preserve"> peut être contacté par </w:t>
      </w:r>
      <w:proofErr w:type="gramStart"/>
      <w:r w:rsidRPr="002E0E3B">
        <w:rPr>
          <w:sz w:val="20"/>
          <w:szCs w:val="20"/>
          <w:lang w:val="fr-FR"/>
        </w:rPr>
        <w:t>e-mail</w:t>
      </w:r>
      <w:proofErr w:type="gramEnd"/>
      <w:r w:rsidRPr="002E0E3B">
        <w:rPr>
          <w:sz w:val="20"/>
          <w:szCs w:val="20"/>
          <w:lang w:val="fr-FR"/>
        </w:rPr>
        <w:t xml:space="preserve"> à</w:t>
      </w:r>
      <w:r w:rsidR="002012CF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headoffice@mra.mu ou numéros de mobile 5941 2782 ou 59412783.</w:t>
      </w:r>
    </w:p>
    <w:p w14:paraId="55009B67" w14:textId="77777777" w:rsidR="00A13CA0" w:rsidRPr="002E0E3B" w:rsidRDefault="00A13CA0" w:rsidP="00A13CA0">
      <w:pPr>
        <w:pStyle w:val="ListParagraph"/>
        <w:rPr>
          <w:sz w:val="20"/>
          <w:szCs w:val="20"/>
          <w:lang w:val="fr-FR"/>
        </w:rPr>
      </w:pPr>
    </w:p>
    <w:p w14:paraId="2B14B8C1" w14:textId="77777777" w:rsidR="00A13CA0" w:rsidRPr="002E0E3B" w:rsidRDefault="00A13CA0" w:rsidP="00A13CA0">
      <w:pPr>
        <w:pStyle w:val="ListParagraph"/>
        <w:ind w:left="1211"/>
        <w:rPr>
          <w:sz w:val="20"/>
          <w:szCs w:val="20"/>
          <w:lang w:val="fr-FR"/>
        </w:rPr>
      </w:pPr>
    </w:p>
    <w:p w14:paraId="530125EF" w14:textId="790C0723" w:rsidR="00846288" w:rsidRPr="002E0E3B" w:rsidRDefault="002012CF" w:rsidP="00846288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0"/>
          <w:szCs w:val="20"/>
          <w:u w:val="single"/>
          <w:lang w:val="fr-FR"/>
        </w:rPr>
      </w:pPr>
      <w:r>
        <w:rPr>
          <w:b/>
          <w:bCs/>
          <w:color w:val="4472C4" w:themeColor="accent1"/>
          <w:sz w:val="20"/>
          <w:szCs w:val="20"/>
          <w:u w:val="single"/>
          <w:lang w:val="fr-FR"/>
        </w:rPr>
        <w:t>SOUTIEN FINANCIER</w:t>
      </w:r>
    </w:p>
    <w:p w14:paraId="459078D1" w14:textId="77777777" w:rsidR="002C6FE5" w:rsidRPr="002E0E3B" w:rsidRDefault="002C6FE5" w:rsidP="002C6FE5">
      <w:pPr>
        <w:pStyle w:val="ListParagraph"/>
        <w:ind w:left="360"/>
        <w:rPr>
          <w:b/>
          <w:bCs/>
          <w:sz w:val="20"/>
          <w:szCs w:val="20"/>
          <w:u w:val="single"/>
          <w:lang w:val="fr-FR"/>
        </w:rPr>
      </w:pPr>
    </w:p>
    <w:p w14:paraId="2EBF3C8E" w14:textId="01E6F354" w:rsidR="002C6FE5" w:rsidRPr="00A14551" w:rsidRDefault="00CB3575" w:rsidP="003409F8">
      <w:pPr>
        <w:pStyle w:val="ListParagraph"/>
        <w:numPr>
          <w:ilvl w:val="0"/>
          <w:numId w:val="4"/>
        </w:numPr>
        <w:ind w:left="1134" w:hanging="774"/>
        <w:rPr>
          <w:b/>
          <w:bCs/>
          <w:color w:val="4472C4" w:themeColor="accent1"/>
          <w:sz w:val="20"/>
          <w:szCs w:val="20"/>
          <w:u w:val="single"/>
          <w:lang w:val="en-GB"/>
        </w:rPr>
      </w:pPr>
      <w:r w:rsidRPr="00A14551">
        <w:rPr>
          <w:b/>
          <w:bCs/>
          <w:color w:val="4472C4" w:themeColor="accent1"/>
          <w:sz w:val="20"/>
          <w:szCs w:val="20"/>
          <w:u w:val="single"/>
          <w:lang w:val="en-GB"/>
        </w:rPr>
        <w:t>Bank of Mauritius Special Relief Programme (Banking) </w:t>
      </w:r>
    </w:p>
    <w:p w14:paraId="14119C15" w14:textId="77777777" w:rsidR="0000089A" w:rsidRPr="00A14551" w:rsidRDefault="0000089A" w:rsidP="0000089A">
      <w:pPr>
        <w:pStyle w:val="ListParagraph"/>
        <w:ind w:left="1080"/>
        <w:rPr>
          <w:sz w:val="20"/>
          <w:szCs w:val="20"/>
          <w:lang w:val="en-GB"/>
        </w:rPr>
      </w:pPr>
    </w:p>
    <w:p w14:paraId="288F4C8A" w14:textId="484E08D0" w:rsidR="00CB3575" w:rsidRPr="002E0E3B" w:rsidRDefault="00CB3575" w:rsidP="000C5431">
      <w:pPr>
        <w:pStyle w:val="ListParagraph"/>
        <w:numPr>
          <w:ilvl w:val="0"/>
          <w:numId w:val="5"/>
        </w:numPr>
        <w:ind w:left="1134" w:hanging="425"/>
        <w:rPr>
          <w:color w:val="4472C4" w:themeColor="accent1"/>
          <w:sz w:val="20"/>
          <w:szCs w:val="20"/>
          <w:lang w:val="fr-FR"/>
        </w:rPr>
      </w:pPr>
      <w:r w:rsidRPr="00A14551">
        <w:rPr>
          <w:color w:val="4472C4" w:themeColor="accent1"/>
          <w:sz w:val="20"/>
          <w:szCs w:val="20"/>
          <w:lang w:val="en-GB"/>
        </w:rPr>
        <w:t xml:space="preserve"> 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Special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> Relief 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Amount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> </w:t>
      </w:r>
      <w:r w:rsidR="002012CF">
        <w:rPr>
          <w:color w:val="4472C4" w:themeColor="accent1"/>
          <w:sz w:val="20"/>
          <w:szCs w:val="20"/>
          <w:lang w:val="fr-FR"/>
        </w:rPr>
        <w:t>de</w:t>
      </w:r>
      <w:r w:rsidR="002012CF" w:rsidRPr="002E0E3B">
        <w:rPr>
          <w:color w:val="4472C4" w:themeColor="accent1"/>
          <w:sz w:val="20"/>
          <w:szCs w:val="20"/>
          <w:lang w:val="fr-FR"/>
        </w:rPr>
        <w:t> 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Rs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> 5 </w:t>
      </w:r>
      <w:r w:rsidR="002012CF">
        <w:rPr>
          <w:color w:val="4472C4" w:themeColor="accent1"/>
          <w:sz w:val="20"/>
          <w:szCs w:val="20"/>
          <w:lang w:val="fr-FR"/>
        </w:rPr>
        <w:t>Milliards</w:t>
      </w:r>
    </w:p>
    <w:p w14:paraId="72290C45" w14:textId="77777777" w:rsidR="00BF08C0" w:rsidRPr="002E0E3B" w:rsidRDefault="00BF08C0" w:rsidP="00BF08C0">
      <w:pPr>
        <w:pStyle w:val="ListParagraph"/>
        <w:ind w:left="1418"/>
        <w:rPr>
          <w:sz w:val="20"/>
          <w:szCs w:val="20"/>
          <w:lang w:val="fr-FR"/>
        </w:rPr>
      </w:pPr>
    </w:p>
    <w:p w14:paraId="2A0CA9F8" w14:textId="5D4EEB37" w:rsidR="001570E3" w:rsidRPr="002E0E3B" w:rsidRDefault="00CC1221" w:rsidP="00056442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fr-FR"/>
        </w:rPr>
      </w:pPr>
      <w:r w:rsidRPr="00CC1221">
        <w:rPr>
          <w:sz w:val="20"/>
          <w:szCs w:val="20"/>
          <w:lang w:val="fr-FR"/>
        </w:rPr>
        <w:t>La Banque de Maurice introduit un montant d'allègement spécial de 5 milliards de roupies</w:t>
      </w:r>
      <w:r w:rsidRPr="002E0E3B">
        <w:rPr>
          <w:sz w:val="20"/>
          <w:szCs w:val="20"/>
          <w:lang w:val="fr-FR"/>
        </w:rPr>
        <w:t xml:space="preserve"> par le biais des banques commerciales pour répondre aux besoins de trésorerie et </w:t>
      </w:r>
      <w:r w:rsidR="00672722" w:rsidRPr="002E0E3B">
        <w:rPr>
          <w:sz w:val="20"/>
          <w:szCs w:val="20"/>
          <w:lang w:val="fr-FR"/>
        </w:rPr>
        <w:t>des</w:t>
      </w:r>
      <w:r w:rsidRPr="002E0E3B">
        <w:rPr>
          <w:sz w:val="20"/>
          <w:szCs w:val="20"/>
          <w:lang w:val="fr-FR"/>
        </w:rPr>
        <w:t xml:space="preserve"> opérateurs économiques directement touchés par</w:t>
      </w:r>
      <w:r w:rsidR="002012CF">
        <w:rPr>
          <w:sz w:val="20"/>
          <w:szCs w:val="20"/>
          <w:lang w:val="fr-FR"/>
        </w:rPr>
        <w:t xml:space="preserve"> le</w:t>
      </w:r>
      <w:r w:rsidRPr="002E0E3B">
        <w:rPr>
          <w:sz w:val="20"/>
          <w:szCs w:val="20"/>
          <w:lang w:val="fr-FR"/>
        </w:rPr>
        <w:t xml:space="preserve"> COVID-19. Ce montant </w:t>
      </w:r>
      <w:r w:rsidR="002012CF">
        <w:rPr>
          <w:sz w:val="20"/>
          <w:szCs w:val="20"/>
          <w:lang w:val="fr-FR"/>
        </w:rPr>
        <w:t xml:space="preserve">spécial </w:t>
      </w:r>
      <w:r w:rsidRPr="002E0E3B">
        <w:rPr>
          <w:sz w:val="20"/>
          <w:szCs w:val="20"/>
          <w:lang w:val="fr-FR"/>
        </w:rPr>
        <w:t>de l'allégement sera mis à disposition par le biais des banques commerciales.</w:t>
      </w:r>
    </w:p>
    <w:p w14:paraId="257F7078" w14:textId="77777777" w:rsidR="00672722" w:rsidRPr="002E0E3B" w:rsidRDefault="00672722" w:rsidP="00056442">
      <w:pPr>
        <w:pStyle w:val="ListParagraph"/>
        <w:ind w:left="1637"/>
        <w:jc w:val="both"/>
        <w:rPr>
          <w:sz w:val="20"/>
          <w:szCs w:val="20"/>
          <w:lang w:val="fr-FR"/>
        </w:rPr>
      </w:pPr>
    </w:p>
    <w:p w14:paraId="676B48F4" w14:textId="1FE09971" w:rsidR="00056442" w:rsidRPr="002E0E3B" w:rsidRDefault="00056442" w:rsidP="00056442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fr-FR"/>
        </w:rPr>
      </w:pPr>
      <w:r w:rsidRPr="00056442">
        <w:rPr>
          <w:sz w:val="20"/>
          <w:szCs w:val="20"/>
          <w:lang w:val="fr-FR"/>
        </w:rPr>
        <w:t>Le taux d'intérêt est de 2,5% par an et il y aura un moratoire de six mois sur</w:t>
      </w:r>
      <w:r w:rsidRPr="002E0E3B">
        <w:rPr>
          <w:sz w:val="20"/>
          <w:szCs w:val="20"/>
          <w:lang w:val="fr-FR"/>
        </w:rPr>
        <w:t xml:space="preserve"> remboursements de capital et d'intérêts, la période de remboursement du prêt étant de deux ans.</w:t>
      </w:r>
    </w:p>
    <w:p w14:paraId="520C59EE" w14:textId="77777777" w:rsidR="00530806" w:rsidRPr="002E0E3B" w:rsidRDefault="00530806" w:rsidP="00D977E6">
      <w:pPr>
        <w:pStyle w:val="ListParagraph"/>
        <w:jc w:val="both"/>
        <w:rPr>
          <w:sz w:val="20"/>
          <w:szCs w:val="20"/>
        </w:rPr>
      </w:pPr>
    </w:p>
    <w:p w14:paraId="6E65CA3C" w14:textId="37A28F3F" w:rsidR="00530806" w:rsidRPr="00A14551" w:rsidRDefault="00D47954" w:rsidP="0080227A">
      <w:pPr>
        <w:pStyle w:val="ListParagraph"/>
        <w:numPr>
          <w:ilvl w:val="0"/>
          <w:numId w:val="5"/>
        </w:numPr>
        <w:ind w:left="1134" w:hanging="425"/>
        <w:rPr>
          <w:color w:val="4472C4" w:themeColor="accent1"/>
          <w:sz w:val="20"/>
          <w:szCs w:val="20"/>
          <w:lang w:val="en-GB"/>
        </w:rPr>
      </w:pPr>
      <w:r w:rsidRPr="00A14551">
        <w:rPr>
          <w:color w:val="4472C4" w:themeColor="accent1"/>
          <w:sz w:val="20"/>
          <w:szCs w:val="20"/>
          <w:lang w:val="en-GB"/>
        </w:rPr>
        <w:t>Reduction </w:t>
      </w:r>
      <w:r w:rsidR="002012CF" w:rsidRPr="00A14551">
        <w:rPr>
          <w:color w:val="4472C4" w:themeColor="accent1"/>
          <w:sz w:val="20"/>
          <w:szCs w:val="20"/>
          <w:lang w:val="en-GB"/>
        </w:rPr>
        <w:t>du</w:t>
      </w:r>
      <w:r w:rsidRPr="00A14551">
        <w:rPr>
          <w:color w:val="4472C4" w:themeColor="accent1"/>
          <w:sz w:val="20"/>
          <w:szCs w:val="20"/>
          <w:lang w:val="en-GB"/>
        </w:rPr>
        <w:t> </w:t>
      </w:r>
      <w:r w:rsidR="002012CF" w:rsidRPr="00A14551">
        <w:rPr>
          <w:color w:val="4472C4" w:themeColor="accent1"/>
          <w:sz w:val="20"/>
          <w:szCs w:val="20"/>
          <w:lang w:val="en-GB"/>
        </w:rPr>
        <w:t>« </w:t>
      </w:r>
      <w:r w:rsidRPr="00A14551">
        <w:rPr>
          <w:color w:val="4472C4" w:themeColor="accent1"/>
          <w:sz w:val="20"/>
          <w:szCs w:val="20"/>
          <w:lang w:val="en-GB"/>
        </w:rPr>
        <w:t>Cash Reserve Ratio</w:t>
      </w:r>
      <w:r w:rsidR="002012CF" w:rsidRPr="00A14551">
        <w:rPr>
          <w:color w:val="4472C4" w:themeColor="accent1"/>
          <w:sz w:val="20"/>
          <w:szCs w:val="20"/>
          <w:lang w:val="en-GB"/>
        </w:rPr>
        <w:t> »</w:t>
      </w:r>
    </w:p>
    <w:p w14:paraId="3ECCC1B2" w14:textId="77777777" w:rsidR="00922051" w:rsidRPr="00A14551" w:rsidRDefault="00922051" w:rsidP="00922051">
      <w:pPr>
        <w:pStyle w:val="ListParagraph"/>
        <w:rPr>
          <w:sz w:val="20"/>
          <w:szCs w:val="20"/>
          <w:lang w:val="en-GB"/>
        </w:rPr>
      </w:pPr>
    </w:p>
    <w:p w14:paraId="24B4534E" w14:textId="4275B625" w:rsidR="00D65618" w:rsidRPr="002E0E3B" w:rsidRDefault="00D65618" w:rsidP="00775703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D65618">
        <w:rPr>
          <w:sz w:val="20"/>
          <w:szCs w:val="20"/>
          <w:lang w:val="fr-FR"/>
        </w:rPr>
        <w:t xml:space="preserve">Le </w:t>
      </w:r>
      <w:r w:rsidR="00775703" w:rsidRPr="002E0E3B">
        <w:rPr>
          <w:sz w:val="20"/>
          <w:szCs w:val="20"/>
          <w:lang w:val="fr-FR"/>
        </w:rPr>
        <w:t>‘</w:t>
      </w:r>
      <w:r w:rsidR="00775703" w:rsidRPr="002E0E3B">
        <w:rPr>
          <w:i/>
          <w:iCs/>
          <w:sz w:val="20"/>
          <w:szCs w:val="20"/>
          <w:lang w:val="fr-FR"/>
        </w:rPr>
        <w:t>Cash Reserve Ratio</w:t>
      </w:r>
      <w:r w:rsidR="00775703" w:rsidRPr="002E0E3B">
        <w:rPr>
          <w:sz w:val="20"/>
          <w:szCs w:val="20"/>
          <w:lang w:val="fr-FR"/>
        </w:rPr>
        <w:t xml:space="preserve">’ </w:t>
      </w:r>
      <w:r w:rsidRPr="00D65618">
        <w:rPr>
          <w:sz w:val="20"/>
          <w:szCs w:val="20"/>
          <w:lang w:val="fr-FR"/>
        </w:rPr>
        <w:t>applicable aux banques commerciales est passé de 9%</w:t>
      </w:r>
      <w:r w:rsidR="00775703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à 8%. Il vise à soutenir les banques commerciales pour aider davantage les entreprises</w:t>
      </w:r>
      <w:r w:rsidR="00775703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sont directement touchés par COVID-19.</w:t>
      </w:r>
    </w:p>
    <w:p w14:paraId="24D36861" w14:textId="724E573D" w:rsidR="00D977E6" w:rsidRPr="002E0E3B" w:rsidRDefault="00D977E6" w:rsidP="00775703">
      <w:pPr>
        <w:pStyle w:val="ListParagraph"/>
        <w:ind w:left="1495"/>
        <w:jc w:val="both"/>
        <w:rPr>
          <w:sz w:val="20"/>
          <w:szCs w:val="20"/>
          <w:lang w:val="fr-FR"/>
        </w:rPr>
      </w:pPr>
    </w:p>
    <w:p w14:paraId="59C03AE2" w14:textId="725E3DCC" w:rsidR="00D47954" w:rsidRPr="002E0E3B" w:rsidRDefault="002012CF" w:rsidP="001074A1">
      <w:pPr>
        <w:pStyle w:val="ListParagraph"/>
        <w:numPr>
          <w:ilvl w:val="0"/>
          <w:numId w:val="5"/>
        </w:numPr>
        <w:ind w:left="1134" w:hanging="425"/>
        <w:jc w:val="both"/>
        <w:rPr>
          <w:color w:val="4472C4" w:themeColor="accent1"/>
          <w:sz w:val="20"/>
          <w:szCs w:val="20"/>
          <w:lang w:val="fr-FR"/>
        </w:rPr>
      </w:pPr>
      <w:proofErr w:type="spellStart"/>
      <w:r>
        <w:rPr>
          <w:color w:val="4472C4" w:themeColor="accent1"/>
          <w:sz w:val="20"/>
          <w:szCs w:val="20"/>
          <w:lang w:val="fr-FR"/>
        </w:rPr>
        <w:t>Assopulissement</w:t>
      </w:r>
      <w:proofErr w:type="spellEnd"/>
      <w:r>
        <w:rPr>
          <w:color w:val="4472C4" w:themeColor="accent1"/>
          <w:sz w:val="20"/>
          <w:szCs w:val="20"/>
          <w:lang w:val="fr-FR"/>
        </w:rPr>
        <w:t xml:space="preserve"> de la politique applicable aux banques</w:t>
      </w:r>
    </w:p>
    <w:p w14:paraId="15A07533" w14:textId="77777777" w:rsidR="00D977E6" w:rsidRPr="002E0E3B" w:rsidRDefault="00D977E6" w:rsidP="001074A1">
      <w:pPr>
        <w:pStyle w:val="ListParagraph"/>
        <w:ind w:left="1134"/>
        <w:jc w:val="both"/>
        <w:rPr>
          <w:sz w:val="20"/>
          <w:szCs w:val="20"/>
          <w:lang w:val="fr-FR"/>
        </w:rPr>
      </w:pPr>
    </w:p>
    <w:p w14:paraId="3F9053E0" w14:textId="72492C96" w:rsidR="00CF7EA4" w:rsidRPr="002E0E3B" w:rsidRDefault="004B41F9" w:rsidP="00CF7EA4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4B41F9">
        <w:rPr>
          <w:sz w:val="20"/>
          <w:szCs w:val="20"/>
          <w:lang w:val="fr-FR"/>
        </w:rPr>
        <w:t xml:space="preserve">La Banque de Maurice a suspendu la </w:t>
      </w:r>
      <w:r w:rsidRPr="002E0E3B">
        <w:rPr>
          <w:sz w:val="20"/>
          <w:szCs w:val="20"/>
          <w:lang w:val="fr-FR"/>
        </w:rPr>
        <w:t>‘</w:t>
      </w:r>
      <w:r w:rsidRPr="002E0E3B">
        <w:rPr>
          <w:i/>
          <w:iCs/>
          <w:sz w:val="20"/>
          <w:szCs w:val="20"/>
          <w:lang w:val="fr-FR"/>
        </w:rPr>
        <w:t xml:space="preserve">Guideline on Credit </w:t>
      </w:r>
      <w:proofErr w:type="spellStart"/>
      <w:r w:rsidRPr="002E0E3B">
        <w:rPr>
          <w:i/>
          <w:iCs/>
          <w:sz w:val="20"/>
          <w:szCs w:val="20"/>
          <w:lang w:val="fr-FR"/>
        </w:rPr>
        <w:t>Impairment</w:t>
      </w:r>
      <w:proofErr w:type="spellEnd"/>
      <w:r w:rsidRPr="002E0E3B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2E0E3B">
        <w:rPr>
          <w:i/>
          <w:iCs/>
          <w:sz w:val="20"/>
          <w:szCs w:val="20"/>
          <w:lang w:val="fr-FR"/>
        </w:rPr>
        <w:t>Measurement</w:t>
      </w:r>
      <w:proofErr w:type="spellEnd"/>
      <w:r w:rsidRPr="002E0E3B">
        <w:rPr>
          <w:i/>
          <w:iCs/>
          <w:sz w:val="20"/>
          <w:szCs w:val="20"/>
          <w:lang w:val="fr-FR"/>
        </w:rPr>
        <w:t xml:space="preserve"> and </w:t>
      </w:r>
      <w:proofErr w:type="spellStart"/>
      <w:r w:rsidRPr="002E0E3B">
        <w:rPr>
          <w:i/>
          <w:iCs/>
          <w:sz w:val="20"/>
          <w:szCs w:val="20"/>
          <w:lang w:val="fr-FR"/>
        </w:rPr>
        <w:t>Income</w:t>
      </w:r>
      <w:proofErr w:type="spellEnd"/>
      <w:r w:rsidRPr="002E0E3B">
        <w:rPr>
          <w:i/>
          <w:iCs/>
          <w:sz w:val="20"/>
          <w:szCs w:val="20"/>
          <w:lang w:val="fr-FR"/>
        </w:rPr>
        <w:t xml:space="preserve"> Recognition’</w:t>
      </w:r>
      <w:r w:rsidRPr="004B41F9">
        <w:rPr>
          <w:sz w:val="20"/>
          <w:szCs w:val="20"/>
          <w:lang w:val="fr-FR"/>
        </w:rPr>
        <w:t>, en vigueur depuis janvier 2020.</w:t>
      </w:r>
      <w:r w:rsidRPr="002E0E3B">
        <w:rPr>
          <w:sz w:val="20"/>
          <w:szCs w:val="20"/>
          <w:lang w:val="fr-FR"/>
        </w:rPr>
        <w:t>Cette mesure permettra aux banques commerciales de continuer à soutenir les entreprises difficultés de trésorerie et de fonds de roulement dans le cadre de COVID-19.</w:t>
      </w:r>
    </w:p>
    <w:p w14:paraId="7C406130" w14:textId="77777777" w:rsidR="004A4C32" w:rsidRPr="002E0E3B" w:rsidRDefault="004A4C32" w:rsidP="004A4C32">
      <w:pPr>
        <w:pStyle w:val="ListParagraph"/>
        <w:ind w:left="1495"/>
        <w:jc w:val="both"/>
        <w:rPr>
          <w:sz w:val="20"/>
          <w:szCs w:val="20"/>
          <w:lang w:val="fr-FR"/>
        </w:rPr>
      </w:pPr>
    </w:p>
    <w:p w14:paraId="4E545BE2" w14:textId="18D55A9E" w:rsidR="00CF7EA4" w:rsidRPr="002E0E3B" w:rsidRDefault="00C716BC" w:rsidP="002828A3">
      <w:pPr>
        <w:pStyle w:val="ListParagraph"/>
        <w:numPr>
          <w:ilvl w:val="0"/>
          <w:numId w:val="5"/>
        </w:numPr>
        <w:ind w:left="1134" w:hanging="425"/>
        <w:rPr>
          <w:color w:val="4472C4" w:themeColor="accent1"/>
          <w:sz w:val="20"/>
          <w:szCs w:val="20"/>
          <w:lang w:val="fr-FR"/>
        </w:rPr>
      </w:pPr>
      <w:r w:rsidRPr="002E0E3B">
        <w:rPr>
          <w:color w:val="4472C4" w:themeColor="accent1"/>
          <w:sz w:val="20"/>
          <w:szCs w:val="20"/>
          <w:lang w:val="fr-FR"/>
        </w:rPr>
        <w:t>2020 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Savings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> Bond</w:t>
      </w:r>
    </w:p>
    <w:p w14:paraId="4C021F29" w14:textId="77777777" w:rsidR="004A57CD" w:rsidRPr="002E0E3B" w:rsidRDefault="004A57CD" w:rsidP="004A57CD">
      <w:pPr>
        <w:pStyle w:val="ListParagraph"/>
        <w:ind w:left="1134"/>
        <w:rPr>
          <w:sz w:val="20"/>
          <w:szCs w:val="20"/>
          <w:lang w:val="fr-FR"/>
        </w:rPr>
      </w:pPr>
    </w:p>
    <w:p w14:paraId="459A3221" w14:textId="04D6A85B" w:rsidR="0074021C" w:rsidRPr="002E0E3B" w:rsidRDefault="0074021C" w:rsidP="00051CD7">
      <w:pPr>
        <w:pStyle w:val="ListParagraph"/>
        <w:numPr>
          <w:ilvl w:val="0"/>
          <w:numId w:val="7"/>
        </w:numPr>
        <w:rPr>
          <w:sz w:val="20"/>
          <w:szCs w:val="20"/>
          <w:lang w:val="fr-FR"/>
        </w:rPr>
      </w:pPr>
      <w:r w:rsidRPr="0074021C">
        <w:rPr>
          <w:sz w:val="20"/>
          <w:szCs w:val="20"/>
          <w:lang w:val="fr-FR"/>
        </w:rPr>
        <w:t xml:space="preserve">La Banque de Maurice lance une </w:t>
      </w:r>
      <w:r w:rsidRPr="002E0E3B">
        <w:rPr>
          <w:sz w:val="20"/>
          <w:szCs w:val="20"/>
        </w:rPr>
        <w:t>‘2.5% Two-Year Bank of Mauritius 2020 Savings Bond’</w:t>
      </w:r>
      <w:r w:rsidR="00051CD7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pour un montant de 5 milliards de roupies à partir du 23 mars 2020</w:t>
      </w:r>
    </w:p>
    <w:p w14:paraId="1EBFEE8C" w14:textId="644FD37B" w:rsidR="00845866" w:rsidRPr="002E0E3B" w:rsidRDefault="00845866" w:rsidP="007A05A4">
      <w:p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lastRenderedPageBreak/>
        <w:t>Les entreprises peuvent avoir accès à ces aides via leurs banques commerciales</w:t>
      </w:r>
      <w:r w:rsidR="007A05A4" w:rsidRPr="002E0E3B">
        <w:rPr>
          <w:sz w:val="20"/>
          <w:szCs w:val="20"/>
          <w:lang w:val="fr-FR"/>
        </w:rPr>
        <w:t xml:space="preserve">. </w:t>
      </w:r>
      <w:r w:rsidRPr="002E0E3B">
        <w:rPr>
          <w:sz w:val="20"/>
          <w:szCs w:val="20"/>
          <w:lang w:val="fr-FR"/>
        </w:rPr>
        <w:t>Toute clarification ou information complémentaire peut être adressée à la Banque de Maurice</w:t>
      </w:r>
      <w:r w:rsidR="007A05A4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 xml:space="preserve">sur </w:t>
      </w:r>
      <w:hyperlink r:id="rId10" w:history="1">
        <w:r w:rsidR="007A05A4" w:rsidRPr="002E0E3B">
          <w:rPr>
            <w:rStyle w:val="Hyperlink"/>
            <w:sz w:val="20"/>
            <w:szCs w:val="20"/>
            <w:lang w:val="fr-FR"/>
          </w:rPr>
          <w:t>communications@bom.mu</w:t>
        </w:r>
      </w:hyperlink>
      <w:r w:rsidR="007A05A4" w:rsidRPr="002E0E3B">
        <w:rPr>
          <w:sz w:val="20"/>
          <w:szCs w:val="20"/>
          <w:lang w:val="fr-FR"/>
        </w:rPr>
        <w:t xml:space="preserve">. </w:t>
      </w:r>
    </w:p>
    <w:p w14:paraId="3C3B187E" w14:textId="7E23A45C" w:rsidR="005A7C54" w:rsidRPr="002E0E3B" w:rsidRDefault="005A7C54" w:rsidP="005A7C54">
      <w:pPr>
        <w:pStyle w:val="ListParagraph"/>
        <w:rPr>
          <w:sz w:val="20"/>
          <w:szCs w:val="20"/>
          <w:lang w:val="fr-FR"/>
        </w:rPr>
      </w:pPr>
    </w:p>
    <w:p w14:paraId="07F97777" w14:textId="2475BA1D" w:rsidR="00F40294" w:rsidRPr="002E0E3B" w:rsidRDefault="002012CF" w:rsidP="003409F8">
      <w:pPr>
        <w:pStyle w:val="ListParagraph"/>
        <w:numPr>
          <w:ilvl w:val="0"/>
          <w:numId w:val="4"/>
        </w:numPr>
        <w:ind w:left="1134" w:hanging="774"/>
        <w:rPr>
          <w:b/>
          <w:bCs/>
          <w:color w:val="4472C4" w:themeColor="accent1"/>
          <w:sz w:val="20"/>
          <w:szCs w:val="20"/>
          <w:u w:val="single"/>
          <w:lang w:val="fr-FR"/>
        </w:rPr>
      </w:pPr>
      <w:r>
        <w:rPr>
          <w:b/>
          <w:bCs/>
          <w:color w:val="4472C4" w:themeColor="accent1"/>
          <w:sz w:val="20"/>
          <w:szCs w:val="20"/>
          <w:u w:val="single"/>
          <w:lang w:val="fr-FR"/>
        </w:rPr>
        <w:t>Divers</w:t>
      </w:r>
    </w:p>
    <w:p w14:paraId="2F746404" w14:textId="77777777" w:rsidR="00591FCA" w:rsidRPr="002E0E3B" w:rsidRDefault="00591FCA" w:rsidP="00591FCA">
      <w:pPr>
        <w:pStyle w:val="ListParagraph"/>
        <w:ind w:left="1080"/>
        <w:rPr>
          <w:color w:val="4472C4" w:themeColor="accent1"/>
          <w:sz w:val="20"/>
          <w:szCs w:val="20"/>
          <w:u w:val="single"/>
          <w:lang w:val="fr-FR"/>
        </w:rPr>
      </w:pPr>
    </w:p>
    <w:p w14:paraId="0AA3219A" w14:textId="37A0D70D" w:rsidR="00BB326B" w:rsidRPr="002E0E3B" w:rsidRDefault="00980186" w:rsidP="000B39A6">
      <w:pPr>
        <w:pStyle w:val="ListParagraph"/>
        <w:numPr>
          <w:ilvl w:val="0"/>
          <w:numId w:val="8"/>
        </w:numPr>
        <w:ind w:left="1134" w:hanging="425"/>
        <w:rPr>
          <w:b/>
          <w:bCs/>
          <w:color w:val="4472C4" w:themeColor="accent1"/>
          <w:sz w:val="20"/>
          <w:szCs w:val="20"/>
          <w:lang w:val="fr-FR"/>
        </w:rPr>
      </w:pPr>
      <w:r w:rsidRPr="002E0E3B">
        <w:rPr>
          <w:b/>
          <w:bCs/>
          <w:color w:val="4472C4" w:themeColor="accent1"/>
          <w:sz w:val="20"/>
          <w:szCs w:val="20"/>
          <w:lang w:val="fr-FR"/>
        </w:rPr>
        <w:t>State Investment Corporation</w:t>
      </w:r>
      <w:r w:rsidR="00195A17" w:rsidRPr="002E0E3B">
        <w:rPr>
          <w:b/>
          <w:bCs/>
          <w:color w:val="4472C4" w:themeColor="accent1"/>
          <w:sz w:val="20"/>
          <w:szCs w:val="20"/>
          <w:lang w:val="fr-FR"/>
        </w:rPr>
        <w:t xml:space="preserve"> </w:t>
      </w:r>
    </w:p>
    <w:p w14:paraId="4208A222" w14:textId="2EF6C43F" w:rsidR="00454FBC" w:rsidRPr="002E0E3B" w:rsidRDefault="00195A17" w:rsidP="00E81E7A">
      <w:pPr>
        <w:ind w:left="414" w:firstLine="720"/>
        <w:rPr>
          <w:color w:val="4472C4" w:themeColor="accent1"/>
          <w:sz w:val="20"/>
          <w:szCs w:val="20"/>
          <w:lang w:val="fr-FR"/>
        </w:rPr>
      </w:pPr>
      <w:proofErr w:type="spellStart"/>
      <w:r w:rsidRPr="002E0E3B">
        <w:rPr>
          <w:color w:val="4472C4" w:themeColor="accent1"/>
          <w:sz w:val="20"/>
          <w:szCs w:val="20"/>
          <w:lang w:val="fr-FR"/>
        </w:rPr>
        <w:t>Equity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 xml:space="preserve"> Participation</w:t>
      </w:r>
      <w:r w:rsidR="002804B6" w:rsidRPr="002E0E3B">
        <w:rPr>
          <w:color w:val="4472C4" w:themeColor="accent1"/>
          <w:sz w:val="20"/>
          <w:szCs w:val="20"/>
          <w:lang w:val="fr-FR"/>
        </w:rPr>
        <w:t xml:space="preserve"> Scheme</w:t>
      </w:r>
    </w:p>
    <w:p w14:paraId="349BB768" w14:textId="5371BFE1" w:rsidR="00C479A9" w:rsidRPr="002E0E3B" w:rsidRDefault="00A02A55" w:rsidP="00687AA5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La State Investment Corporation (SIC) Ltd a lancé une ‘</w:t>
      </w:r>
      <w:proofErr w:type="spellStart"/>
      <w:r w:rsidRPr="002E0E3B">
        <w:rPr>
          <w:sz w:val="20"/>
          <w:szCs w:val="20"/>
          <w:lang w:val="fr-FR"/>
        </w:rPr>
        <w:t>Equity</w:t>
      </w:r>
      <w:proofErr w:type="spellEnd"/>
      <w:r w:rsidRPr="002E0E3B">
        <w:rPr>
          <w:sz w:val="20"/>
          <w:szCs w:val="20"/>
          <w:lang w:val="fr-FR"/>
        </w:rPr>
        <w:t xml:space="preserve"> Participation Scheme’ </w:t>
      </w:r>
      <w:r w:rsidR="00AD7CBE" w:rsidRPr="002E0E3B">
        <w:rPr>
          <w:sz w:val="20"/>
          <w:szCs w:val="20"/>
          <w:lang w:val="fr-FR"/>
        </w:rPr>
        <w:t>pour aider les</w:t>
      </w:r>
      <w:r w:rsidRPr="002E0E3B">
        <w:rPr>
          <w:sz w:val="20"/>
          <w:szCs w:val="20"/>
          <w:lang w:val="fr-FR"/>
        </w:rPr>
        <w:t xml:space="preserve"> entreprises dont le chiffre d'affaires annuel dépasse 250 millions de roupies</w:t>
      </w:r>
      <w:r w:rsidR="00687AA5" w:rsidRPr="002E0E3B">
        <w:rPr>
          <w:sz w:val="20"/>
          <w:szCs w:val="20"/>
          <w:lang w:val="fr-FR"/>
        </w:rPr>
        <w:t xml:space="preserve"> </w:t>
      </w:r>
      <w:r w:rsidR="00AD7CBE" w:rsidRPr="00AD7CBE">
        <w:rPr>
          <w:sz w:val="20"/>
          <w:szCs w:val="20"/>
          <w:lang w:val="fr-FR"/>
        </w:rPr>
        <w:t>à</w:t>
      </w:r>
      <w:r w:rsidR="00AD7CBE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surmonter leurs difficultés financières dans le sillage d</w:t>
      </w:r>
      <w:r w:rsidR="002012CF">
        <w:rPr>
          <w:sz w:val="20"/>
          <w:szCs w:val="20"/>
          <w:lang w:val="fr-FR"/>
        </w:rPr>
        <w:t>u</w:t>
      </w:r>
      <w:r w:rsidRPr="002E0E3B">
        <w:rPr>
          <w:sz w:val="20"/>
          <w:szCs w:val="20"/>
          <w:lang w:val="fr-FR"/>
        </w:rPr>
        <w:t xml:space="preserve"> COVID-19. </w:t>
      </w:r>
    </w:p>
    <w:p w14:paraId="4F2445E5" w14:textId="01EA4639" w:rsidR="000B5E52" w:rsidRPr="002E0E3B" w:rsidRDefault="000B5E52" w:rsidP="00E81E7A">
      <w:pPr>
        <w:ind w:left="349" w:firstLine="720"/>
        <w:jc w:val="both"/>
        <w:rPr>
          <w:color w:val="4472C4" w:themeColor="accent1"/>
          <w:sz w:val="20"/>
          <w:szCs w:val="20"/>
          <w:lang w:val="en-GB"/>
        </w:rPr>
      </w:pPr>
      <w:r w:rsidRPr="002E0E3B">
        <w:rPr>
          <w:color w:val="4472C4" w:themeColor="accent1"/>
          <w:sz w:val="20"/>
          <w:szCs w:val="20"/>
          <w:lang w:val="en-GB"/>
        </w:rPr>
        <w:t>Investment Support Programme Limited (ISP)</w:t>
      </w:r>
    </w:p>
    <w:p w14:paraId="644DCA6D" w14:textId="13949D20" w:rsidR="000B5E52" w:rsidRPr="002E0E3B" w:rsidRDefault="00CC265B" w:rsidP="008D5B2A">
      <w:pPr>
        <w:pStyle w:val="ListParagraph"/>
        <w:numPr>
          <w:ilvl w:val="0"/>
          <w:numId w:val="9"/>
        </w:numPr>
        <w:jc w:val="both"/>
        <w:rPr>
          <w:color w:val="4472C4" w:themeColor="accent1"/>
          <w:sz w:val="20"/>
          <w:szCs w:val="20"/>
          <w:lang w:val="fr-FR"/>
        </w:rPr>
      </w:pPr>
      <w:r w:rsidRPr="002E0E3B">
        <w:rPr>
          <w:color w:val="4472C4" w:themeColor="accent1"/>
          <w:sz w:val="20"/>
          <w:szCs w:val="20"/>
          <w:lang w:val="fr-FR"/>
        </w:rPr>
        <w:t>SME Factoring Scheme</w:t>
      </w:r>
    </w:p>
    <w:p w14:paraId="2B782296" w14:textId="4DDAF04E" w:rsidR="00F60019" w:rsidRPr="002E0E3B" w:rsidRDefault="005212D3" w:rsidP="00B16336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5212D3">
        <w:rPr>
          <w:sz w:val="20"/>
          <w:szCs w:val="20"/>
          <w:lang w:val="fr-FR"/>
        </w:rPr>
        <w:t xml:space="preserve">Les entreprises dont le chiffre d’affaires annuel </w:t>
      </w:r>
      <w:r w:rsidR="002012CF">
        <w:rPr>
          <w:sz w:val="20"/>
          <w:szCs w:val="20"/>
          <w:lang w:val="fr-FR"/>
        </w:rPr>
        <w:t>atteignant</w:t>
      </w:r>
      <w:r w:rsidRPr="005212D3">
        <w:rPr>
          <w:sz w:val="20"/>
          <w:szCs w:val="20"/>
          <w:lang w:val="fr-FR"/>
        </w:rPr>
        <w:t xml:space="preserve"> 50 millions de roupies </w:t>
      </w:r>
      <w:r w:rsidR="00B16336" w:rsidRPr="002E0E3B">
        <w:rPr>
          <w:sz w:val="20"/>
          <w:szCs w:val="20"/>
          <w:lang w:val="fr-FR"/>
        </w:rPr>
        <w:t xml:space="preserve">bénéficieront </w:t>
      </w:r>
      <w:r w:rsidRPr="002E0E3B">
        <w:rPr>
          <w:sz w:val="20"/>
          <w:szCs w:val="20"/>
          <w:lang w:val="fr-FR"/>
        </w:rPr>
        <w:t xml:space="preserve">taux d'intérêt de 2,5% au lieu de 3,9% dans le cadre </w:t>
      </w:r>
      <w:r w:rsidR="00B16336" w:rsidRPr="002E0E3B">
        <w:rPr>
          <w:sz w:val="20"/>
          <w:szCs w:val="20"/>
          <w:lang w:val="fr-FR"/>
        </w:rPr>
        <w:t xml:space="preserve">de </w:t>
      </w:r>
      <w:r w:rsidR="000733A3" w:rsidRPr="002E0E3B">
        <w:rPr>
          <w:sz w:val="20"/>
          <w:szCs w:val="20"/>
          <w:lang w:val="fr-FR"/>
        </w:rPr>
        <w:t>la ‘SME Factoring Scheme’.</w:t>
      </w:r>
    </w:p>
    <w:p w14:paraId="475C92BE" w14:textId="77777777" w:rsidR="008D5B2A" w:rsidRPr="002E0E3B" w:rsidRDefault="008D5B2A" w:rsidP="00432B27">
      <w:pPr>
        <w:pStyle w:val="ListParagraph"/>
        <w:jc w:val="both"/>
        <w:rPr>
          <w:sz w:val="20"/>
          <w:szCs w:val="20"/>
          <w:lang w:val="fr-FR"/>
        </w:rPr>
      </w:pPr>
    </w:p>
    <w:p w14:paraId="4FE140AB" w14:textId="14938A9B" w:rsidR="0023326B" w:rsidRPr="00A14551" w:rsidRDefault="0023326B" w:rsidP="008D5B2A">
      <w:pPr>
        <w:pStyle w:val="ListParagraph"/>
        <w:numPr>
          <w:ilvl w:val="0"/>
          <w:numId w:val="9"/>
        </w:numPr>
        <w:jc w:val="both"/>
        <w:rPr>
          <w:color w:val="4472C4" w:themeColor="accent1"/>
          <w:sz w:val="20"/>
          <w:szCs w:val="20"/>
          <w:lang w:val="en-GB"/>
        </w:rPr>
      </w:pPr>
      <w:r w:rsidRPr="00A14551">
        <w:rPr>
          <w:color w:val="4472C4" w:themeColor="accent1"/>
          <w:sz w:val="20"/>
          <w:szCs w:val="20"/>
          <w:lang w:val="en-GB"/>
        </w:rPr>
        <w:t>Leasing Equipment Modernisation Scheme (LEMS I, II, III)</w:t>
      </w:r>
    </w:p>
    <w:p w14:paraId="55E70D5A" w14:textId="50F5E4C7" w:rsidR="00BE5851" w:rsidRPr="002E0E3B" w:rsidRDefault="00BE5851" w:rsidP="00BE5851">
      <w:pPr>
        <w:pStyle w:val="ListParagraph"/>
        <w:numPr>
          <w:ilvl w:val="0"/>
          <w:numId w:val="13"/>
        </w:num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Les e</w:t>
      </w:r>
      <w:r w:rsidRPr="00BE5851">
        <w:rPr>
          <w:sz w:val="20"/>
          <w:szCs w:val="20"/>
          <w:lang w:val="fr-FR"/>
        </w:rPr>
        <w:t xml:space="preserve">ntreprises dont le chiffre d'affaires annuel se situe entre </w:t>
      </w:r>
      <w:proofErr w:type="spellStart"/>
      <w:r w:rsidRPr="00BE5851">
        <w:rPr>
          <w:sz w:val="20"/>
          <w:szCs w:val="20"/>
          <w:lang w:val="fr-FR"/>
        </w:rPr>
        <w:t>Rs</w:t>
      </w:r>
      <w:proofErr w:type="spellEnd"/>
      <w:r w:rsidRPr="00BE5851">
        <w:rPr>
          <w:sz w:val="20"/>
          <w:szCs w:val="20"/>
          <w:lang w:val="fr-FR"/>
        </w:rPr>
        <w:t xml:space="preserve"> 50 millions et </w:t>
      </w:r>
      <w:proofErr w:type="spellStart"/>
      <w:r w:rsidRPr="00BE5851">
        <w:rPr>
          <w:sz w:val="20"/>
          <w:szCs w:val="20"/>
          <w:lang w:val="fr-FR"/>
        </w:rPr>
        <w:t>Rs</w:t>
      </w:r>
      <w:proofErr w:type="spellEnd"/>
      <w:r w:rsidRPr="00BE5851">
        <w:rPr>
          <w:sz w:val="20"/>
          <w:szCs w:val="20"/>
          <w:lang w:val="fr-FR"/>
        </w:rPr>
        <w:t xml:space="preserve"> 1,5 milliard</w:t>
      </w:r>
      <w:r w:rsidRPr="002E0E3B">
        <w:rPr>
          <w:sz w:val="20"/>
          <w:szCs w:val="20"/>
          <w:lang w:val="fr-FR"/>
        </w:rPr>
        <w:t xml:space="preserve"> bénéficieront d'un taux d'intérêt réduit compris entre 2,5% et 3,35% par an. </w:t>
      </w:r>
    </w:p>
    <w:p w14:paraId="7B391720" w14:textId="7EAE18C6" w:rsidR="001074A1" w:rsidRPr="002E0E3B" w:rsidRDefault="001074A1" w:rsidP="009256E1">
      <w:pPr>
        <w:pStyle w:val="ListParagraph"/>
        <w:jc w:val="both"/>
        <w:rPr>
          <w:sz w:val="20"/>
          <w:szCs w:val="20"/>
          <w:lang w:val="fr-FR"/>
        </w:rPr>
      </w:pPr>
    </w:p>
    <w:p w14:paraId="572E0CA6" w14:textId="31CBE85F" w:rsidR="00B925C0" w:rsidRPr="002E0E3B" w:rsidRDefault="00A224C1" w:rsidP="0002623D">
      <w:pPr>
        <w:pStyle w:val="ListParagraph"/>
        <w:numPr>
          <w:ilvl w:val="0"/>
          <w:numId w:val="9"/>
        </w:numPr>
        <w:jc w:val="both"/>
        <w:rPr>
          <w:color w:val="4472C4" w:themeColor="accent1"/>
          <w:sz w:val="20"/>
          <w:szCs w:val="20"/>
          <w:lang w:val="fr-FR"/>
        </w:rPr>
      </w:pPr>
      <w:proofErr w:type="spellStart"/>
      <w:r w:rsidRPr="002E0E3B">
        <w:rPr>
          <w:color w:val="4472C4" w:themeColor="accent1"/>
          <w:sz w:val="20"/>
          <w:szCs w:val="20"/>
          <w:lang w:val="fr-FR"/>
        </w:rPr>
        <w:t>Corporate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> 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Guarantees</w:t>
      </w:r>
      <w:proofErr w:type="spellEnd"/>
      <w:r w:rsidRPr="002E0E3B">
        <w:rPr>
          <w:color w:val="4472C4" w:themeColor="accent1"/>
          <w:sz w:val="20"/>
          <w:szCs w:val="20"/>
          <w:lang w:val="fr-FR"/>
        </w:rPr>
        <w:t> to 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banks</w:t>
      </w:r>
      <w:proofErr w:type="spellEnd"/>
    </w:p>
    <w:p w14:paraId="0305A1F0" w14:textId="6E0E454F" w:rsidR="00663FD4" w:rsidRPr="002E0E3B" w:rsidRDefault="005824D0" w:rsidP="005824D0">
      <w:pPr>
        <w:pStyle w:val="ListParagraph"/>
        <w:numPr>
          <w:ilvl w:val="0"/>
          <w:numId w:val="13"/>
        </w:num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 xml:space="preserve">ISP Ltd émettra une garantie </w:t>
      </w:r>
      <w:r w:rsidR="002012CF">
        <w:rPr>
          <w:sz w:val="20"/>
          <w:szCs w:val="20"/>
          <w:lang w:val="fr-FR"/>
        </w:rPr>
        <w:t>bancaire en faveur des entreprises</w:t>
      </w:r>
      <w:r w:rsidRPr="002E0E3B">
        <w:rPr>
          <w:sz w:val="20"/>
          <w:szCs w:val="20"/>
          <w:lang w:val="fr-FR"/>
        </w:rPr>
        <w:t xml:space="preserve"> </w:t>
      </w:r>
      <w:r w:rsidR="002012CF">
        <w:rPr>
          <w:sz w:val="20"/>
          <w:szCs w:val="20"/>
          <w:lang w:val="fr-FR"/>
        </w:rPr>
        <w:t xml:space="preserve">auprès des banques commerciales </w:t>
      </w:r>
      <w:r w:rsidRPr="002E0E3B">
        <w:rPr>
          <w:sz w:val="20"/>
          <w:szCs w:val="20"/>
          <w:lang w:val="fr-FR"/>
        </w:rPr>
        <w:t xml:space="preserve">pour leur permettre d'accorder des prêts </w:t>
      </w:r>
      <w:r w:rsidR="002012CF">
        <w:rPr>
          <w:sz w:val="20"/>
          <w:szCs w:val="20"/>
          <w:lang w:val="fr-FR"/>
        </w:rPr>
        <w:t>aux</w:t>
      </w:r>
      <w:r w:rsidR="002012CF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 xml:space="preserve">entreprises concernées par </w:t>
      </w:r>
      <w:r w:rsidR="002012CF">
        <w:rPr>
          <w:sz w:val="20"/>
          <w:szCs w:val="20"/>
          <w:lang w:val="fr-FR"/>
        </w:rPr>
        <w:t xml:space="preserve">le </w:t>
      </w:r>
      <w:r w:rsidRPr="002E0E3B">
        <w:rPr>
          <w:sz w:val="20"/>
          <w:szCs w:val="20"/>
          <w:lang w:val="fr-FR"/>
        </w:rPr>
        <w:t>COVID-19, au cas par cas.</w:t>
      </w:r>
    </w:p>
    <w:p w14:paraId="70803F6D" w14:textId="77777777" w:rsidR="0002623D" w:rsidRPr="002E0E3B" w:rsidRDefault="0002623D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4DE2E200" w14:textId="457D8FD6" w:rsidR="001E3109" w:rsidRPr="002E0E3B" w:rsidRDefault="00A30B81" w:rsidP="00E81E7A">
      <w:pPr>
        <w:pStyle w:val="ListParagraph"/>
        <w:numPr>
          <w:ilvl w:val="0"/>
          <w:numId w:val="8"/>
        </w:numPr>
        <w:ind w:left="1134" w:hanging="425"/>
        <w:jc w:val="both"/>
        <w:rPr>
          <w:b/>
          <w:bCs/>
          <w:color w:val="4472C4" w:themeColor="accent1"/>
          <w:sz w:val="20"/>
          <w:szCs w:val="20"/>
          <w:lang w:val="fr-FR"/>
        </w:rPr>
      </w:pPr>
      <w:r w:rsidRPr="002E0E3B">
        <w:rPr>
          <w:b/>
          <w:bCs/>
          <w:color w:val="4472C4" w:themeColor="accent1"/>
          <w:sz w:val="20"/>
          <w:szCs w:val="20"/>
          <w:lang w:val="fr-FR"/>
        </w:rPr>
        <w:t>S</w:t>
      </w:r>
      <w:r w:rsidR="00663FD4" w:rsidRPr="002E0E3B">
        <w:rPr>
          <w:b/>
          <w:bCs/>
          <w:color w:val="4472C4" w:themeColor="accent1"/>
          <w:sz w:val="20"/>
          <w:szCs w:val="20"/>
          <w:lang w:val="fr-FR"/>
        </w:rPr>
        <w:t xml:space="preserve">ME </w:t>
      </w:r>
      <w:proofErr w:type="spellStart"/>
      <w:r w:rsidR="00663FD4" w:rsidRPr="002E0E3B">
        <w:rPr>
          <w:b/>
          <w:bCs/>
          <w:color w:val="4472C4" w:themeColor="accent1"/>
          <w:sz w:val="20"/>
          <w:szCs w:val="20"/>
          <w:lang w:val="fr-FR"/>
        </w:rPr>
        <w:t>Equity</w:t>
      </w:r>
      <w:proofErr w:type="spellEnd"/>
      <w:r w:rsidR="00663FD4" w:rsidRPr="002E0E3B">
        <w:rPr>
          <w:b/>
          <w:bCs/>
          <w:color w:val="4472C4" w:themeColor="accent1"/>
          <w:sz w:val="20"/>
          <w:szCs w:val="20"/>
          <w:lang w:val="fr-FR"/>
        </w:rPr>
        <w:t xml:space="preserve"> </w:t>
      </w:r>
      <w:proofErr w:type="spellStart"/>
      <w:r w:rsidR="00663FD4" w:rsidRPr="002E0E3B">
        <w:rPr>
          <w:b/>
          <w:bCs/>
          <w:color w:val="4472C4" w:themeColor="accent1"/>
          <w:sz w:val="20"/>
          <w:szCs w:val="20"/>
          <w:lang w:val="fr-FR"/>
        </w:rPr>
        <w:t>Fund</w:t>
      </w:r>
      <w:proofErr w:type="spellEnd"/>
      <w:r w:rsidR="00663FD4" w:rsidRPr="002E0E3B">
        <w:rPr>
          <w:b/>
          <w:bCs/>
          <w:color w:val="4472C4" w:themeColor="accent1"/>
          <w:sz w:val="20"/>
          <w:szCs w:val="20"/>
          <w:lang w:val="fr-FR"/>
        </w:rPr>
        <w:t xml:space="preserve"> Ltd</w:t>
      </w:r>
    </w:p>
    <w:p w14:paraId="7D03EEB0" w14:textId="77777777" w:rsidR="0002623D" w:rsidRPr="002E0E3B" w:rsidRDefault="0002623D" w:rsidP="00D87628">
      <w:pPr>
        <w:pStyle w:val="ListParagraph"/>
        <w:ind w:left="1004"/>
        <w:jc w:val="both"/>
        <w:rPr>
          <w:b/>
          <w:bCs/>
          <w:color w:val="4472C4" w:themeColor="accent1"/>
          <w:sz w:val="20"/>
          <w:szCs w:val="20"/>
          <w:lang w:val="fr-FR"/>
        </w:rPr>
      </w:pPr>
    </w:p>
    <w:p w14:paraId="7CE4E932" w14:textId="4981CCC9" w:rsidR="00F40294" w:rsidRPr="002E0E3B" w:rsidRDefault="001E3109" w:rsidP="00CA62B7">
      <w:pPr>
        <w:pStyle w:val="ListParagraph"/>
        <w:numPr>
          <w:ilvl w:val="0"/>
          <w:numId w:val="10"/>
        </w:numPr>
        <w:ind w:left="1560" w:hanging="426"/>
        <w:jc w:val="both"/>
        <w:rPr>
          <w:color w:val="4472C4" w:themeColor="accent1"/>
          <w:sz w:val="20"/>
          <w:szCs w:val="20"/>
          <w:lang w:val="fr-FR"/>
        </w:rPr>
      </w:pPr>
      <w:proofErr w:type="spellStart"/>
      <w:r w:rsidRPr="002E0E3B">
        <w:rPr>
          <w:color w:val="4472C4" w:themeColor="accent1"/>
          <w:sz w:val="20"/>
          <w:szCs w:val="20"/>
          <w:lang w:val="fr-FR"/>
        </w:rPr>
        <w:t>E</w:t>
      </w:r>
      <w:r w:rsidR="00C1221E" w:rsidRPr="002E0E3B">
        <w:rPr>
          <w:color w:val="4472C4" w:themeColor="accent1"/>
          <w:sz w:val="20"/>
          <w:szCs w:val="20"/>
          <w:lang w:val="fr-FR"/>
        </w:rPr>
        <w:t>quity</w:t>
      </w:r>
      <w:proofErr w:type="spellEnd"/>
      <w:r w:rsidR="00C1221E" w:rsidRPr="002E0E3B">
        <w:rPr>
          <w:color w:val="4472C4" w:themeColor="accent1"/>
          <w:sz w:val="20"/>
          <w:szCs w:val="20"/>
          <w:lang w:val="fr-FR"/>
        </w:rPr>
        <w:t xml:space="preserve"> </w:t>
      </w:r>
      <w:proofErr w:type="spellStart"/>
      <w:r w:rsidR="00C1221E" w:rsidRPr="002E0E3B">
        <w:rPr>
          <w:color w:val="4472C4" w:themeColor="accent1"/>
          <w:sz w:val="20"/>
          <w:szCs w:val="20"/>
          <w:lang w:val="fr-FR"/>
        </w:rPr>
        <w:t>Financing</w:t>
      </w:r>
      <w:proofErr w:type="spellEnd"/>
    </w:p>
    <w:p w14:paraId="20BB0040" w14:textId="0B2D9392" w:rsidR="00195A17" w:rsidRPr="002E0E3B" w:rsidRDefault="00540805" w:rsidP="00540805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540805">
        <w:rPr>
          <w:sz w:val="20"/>
          <w:szCs w:val="20"/>
          <w:lang w:val="fr-FR"/>
        </w:rPr>
        <w:t xml:space="preserve">Le SME </w:t>
      </w:r>
      <w:proofErr w:type="spellStart"/>
      <w:r w:rsidRPr="00540805">
        <w:rPr>
          <w:sz w:val="20"/>
          <w:szCs w:val="20"/>
          <w:lang w:val="fr-FR"/>
        </w:rPr>
        <w:t>Equity</w:t>
      </w:r>
      <w:proofErr w:type="spellEnd"/>
      <w:r w:rsidRPr="00540805">
        <w:rPr>
          <w:sz w:val="20"/>
          <w:szCs w:val="20"/>
          <w:lang w:val="fr-FR"/>
        </w:rPr>
        <w:t xml:space="preserve"> </w:t>
      </w:r>
      <w:proofErr w:type="spellStart"/>
      <w:r w:rsidRPr="00540805">
        <w:rPr>
          <w:sz w:val="20"/>
          <w:szCs w:val="20"/>
          <w:lang w:val="fr-FR"/>
        </w:rPr>
        <w:t>Fund</w:t>
      </w:r>
      <w:proofErr w:type="spellEnd"/>
      <w:r w:rsidRPr="00540805">
        <w:rPr>
          <w:sz w:val="20"/>
          <w:szCs w:val="20"/>
          <w:lang w:val="fr-FR"/>
        </w:rPr>
        <w:t xml:space="preserve"> Ltd réduira son exigence de taux </w:t>
      </w:r>
      <w:r w:rsidR="002012CF">
        <w:rPr>
          <w:sz w:val="20"/>
          <w:szCs w:val="20"/>
          <w:lang w:val="fr-FR"/>
        </w:rPr>
        <w:t xml:space="preserve">plancher </w:t>
      </w:r>
      <w:r w:rsidRPr="00540805">
        <w:rPr>
          <w:sz w:val="20"/>
          <w:szCs w:val="20"/>
          <w:lang w:val="fr-FR"/>
        </w:rPr>
        <w:t>de</w:t>
      </w:r>
      <w:r w:rsidR="002012CF">
        <w:rPr>
          <w:sz w:val="20"/>
          <w:szCs w:val="20"/>
          <w:lang w:val="fr-FR"/>
        </w:rPr>
        <w:t xml:space="preserve"> retour sur</w:t>
      </w:r>
      <w:r w:rsidRPr="00540805">
        <w:rPr>
          <w:sz w:val="20"/>
          <w:szCs w:val="20"/>
          <w:lang w:val="fr-FR"/>
        </w:rPr>
        <w:t xml:space="preserve"> dividende </w:t>
      </w:r>
      <w:r w:rsidRPr="002E0E3B">
        <w:rPr>
          <w:sz w:val="20"/>
          <w:szCs w:val="20"/>
          <w:lang w:val="fr-FR"/>
        </w:rPr>
        <w:t>sur financement en fonds propres / quasi-fonds propres de 6% à 3% jusqu'au 31 décembre 2020. Par la suite, des conditions normales et un taux de dividende de 6% seront applicables.</w:t>
      </w:r>
    </w:p>
    <w:p w14:paraId="4D289143" w14:textId="77777777" w:rsidR="0083626D" w:rsidRPr="002E0E3B" w:rsidRDefault="0083626D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3CE5A66A" w14:textId="1DD40277" w:rsidR="00D67378" w:rsidRPr="002E0E3B" w:rsidRDefault="0002623D" w:rsidP="00CA62B7">
      <w:pPr>
        <w:pStyle w:val="ListParagraph"/>
        <w:numPr>
          <w:ilvl w:val="0"/>
          <w:numId w:val="8"/>
        </w:numPr>
        <w:ind w:left="1134" w:hanging="424"/>
        <w:jc w:val="both"/>
        <w:rPr>
          <w:b/>
          <w:bCs/>
          <w:color w:val="4472C4" w:themeColor="accent1"/>
          <w:sz w:val="20"/>
          <w:szCs w:val="20"/>
          <w:lang w:val="fr-FR"/>
        </w:rPr>
      </w:pPr>
      <w:proofErr w:type="spellStart"/>
      <w:r w:rsidRPr="002E0E3B">
        <w:rPr>
          <w:b/>
          <w:bCs/>
          <w:color w:val="4472C4" w:themeColor="accent1"/>
          <w:sz w:val="20"/>
          <w:szCs w:val="20"/>
          <w:lang w:val="fr-FR"/>
        </w:rPr>
        <w:t>Development</w:t>
      </w:r>
      <w:proofErr w:type="spellEnd"/>
      <w:r w:rsidRPr="002E0E3B">
        <w:rPr>
          <w:b/>
          <w:bCs/>
          <w:color w:val="4472C4" w:themeColor="accent1"/>
          <w:sz w:val="20"/>
          <w:szCs w:val="20"/>
          <w:lang w:val="fr-FR"/>
        </w:rPr>
        <w:t> Bank of Mauritius Ltd</w:t>
      </w:r>
    </w:p>
    <w:p w14:paraId="696F63AC" w14:textId="77777777" w:rsidR="003F4BC6" w:rsidRPr="002E0E3B" w:rsidRDefault="003F4BC6" w:rsidP="00D87628">
      <w:pPr>
        <w:pStyle w:val="ListParagraph"/>
        <w:ind w:left="1430"/>
        <w:jc w:val="both"/>
        <w:rPr>
          <w:b/>
          <w:bCs/>
          <w:color w:val="4472C4" w:themeColor="accent1"/>
          <w:sz w:val="20"/>
          <w:szCs w:val="20"/>
          <w:lang w:val="fr-FR"/>
        </w:rPr>
      </w:pPr>
    </w:p>
    <w:p w14:paraId="4CAA1C83" w14:textId="2D9E58D9" w:rsidR="002B5B9C" w:rsidRPr="002E0E3B" w:rsidRDefault="00755758" w:rsidP="002B5B9C">
      <w:pPr>
        <w:pStyle w:val="ListParagraph"/>
        <w:numPr>
          <w:ilvl w:val="0"/>
          <w:numId w:val="11"/>
        </w:numPr>
        <w:ind w:left="1560" w:hanging="426"/>
        <w:jc w:val="both"/>
        <w:rPr>
          <w:color w:val="4472C4" w:themeColor="accent1"/>
          <w:sz w:val="20"/>
          <w:szCs w:val="20"/>
          <w:lang w:val="fr-FR"/>
        </w:rPr>
      </w:pPr>
      <w:r w:rsidRPr="002E0E3B">
        <w:rPr>
          <w:color w:val="4472C4" w:themeColor="accent1"/>
          <w:sz w:val="20"/>
          <w:szCs w:val="20"/>
          <w:lang w:val="fr-FR"/>
        </w:rPr>
        <w:t>Enterprise Modernisation Scheme (EMS)</w:t>
      </w:r>
    </w:p>
    <w:p w14:paraId="36C8396A" w14:textId="2AF1A047" w:rsidR="00294833" w:rsidRPr="002E0E3B" w:rsidRDefault="002B5B9C" w:rsidP="002B5B9C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 xml:space="preserve">Les entreprises dont le chiffre d’affaires annuel peut atteindre 10 millions de roupies bénéficieront </w:t>
      </w:r>
      <w:r w:rsidR="002012CF">
        <w:rPr>
          <w:sz w:val="20"/>
          <w:szCs w:val="20"/>
          <w:lang w:val="fr-FR"/>
        </w:rPr>
        <w:t xml:space="preserve">d’un </w:t>
      </w:r>
      <w:r w:rsidRPr="002E0E3B">
        <w:rPr>
          <w:sz w:val="20"/>
          <w:szCs w:val="20"/>
          <w:lang w:val="fr-FR"/>
        </w:rPr>
        <w:t xml:space="preserve">taux d'intérêt de 2,5% au lieu de 3,5% jusqu'au 31 décembre 2020 et une bonification de 15% jusqu'à un maximum de </w:t>
      </w:r>
      <w:proofErr w:type="spellStart"/>
      <w:r w:rsidRPr="002E0E3B">
        <w:rPr>
          <w:sz w:val="20"/>
          <w:szCs w:val="20"/>
          <w:lang w:val="fr-FR"/>
        </w:rPr>
        <w:t>Rs</w:t>
      </w:r>
      <w:proofErr w:type="spellEnd"/>
      <w:r w:rsidRPr="002E0E3B">
        <w:rPr>
          <w:sz w:val="20"/>
          <w:szCs w:val="20"/>
          <w:lang w:val="fr-FR"/>
        </w:rPr>
        <w:t xml:space="preserve"> 150,000. </w:t>
      </w:r>
    </w:p>
    <w:p w14:paraId="04B9A62B" w14:textId="215ECA71" w:rsidR="00755758" w:rsidRPr="002E0E3B" w:rsidRDefault="00755758" w:rsidP="00D87628">
      <w:pPr>
        <w:pStyle w:val="ListParagraph"/>
        <w:jc w:val="both"/>
        <w:rPr>
          <w:sz w:val="20"/>
          <w:szCs w:val="20"/>
          <w:lang w:val="fr-FR"/>
        </w:rPr>
      </w:pPr>
    </w:p>
    <w:p w14:paraId="48784DC1" w14:textId="201DE0B3" w:rsidR="0078328E" w:rsidRPr="002E0E3B" w:rsidRDefault="0078328E" w:rsidP="00CA62B7">
      <w:pPr>
        <w:pStyle w:val="ListParagraph"/>
        <w:numPr>
          <w:ilvl w:val="0"/>
          <w:numId w:val="11"/>
        </w:numPr>
        <w:jc w:val="both"/>
        <w:rPr>
          <w:color w:val="4472C4" w:themeColor="accent1"/>
          <w:sz w:val="20"/>
          <w:szCs w:val="20"/>
          <w:lang w:val="fr-FR"/>
        </w:rPr>
      </w:pPr>
      <w:r w:rsidRPr="002E0E3B">
        <w:rPr>
          <w:color w:val="4472C4" w:themeColor="accent1"/>
          <w:sz w:val="20"/>
          <w:szCs w:val="20"/>
          <w:lang w:val="fr-FR"/>
        </w:rPr>
        <w:t>Revolving Credit </w:t>
      </w:r>
      <w:proofErr w:type="spellStart"/>
      <w:r w:rsidRPr="002E0E3B">
        <w:rPr>
          <w:color w:val="4472C4" w:themeColor="accent1"/>
          <w:sz w:val="20"/>
          <w:szCs w:val="20"/>
          <w:lang w:val="fr-FR"/>
        </w:rPr>
        <w:t>Fund</w:t>
      </w:r>
      <w:proofErr w:type="spellEnd"/>
    </w:p>
    <w:p w14:paraId="1DAFF6E4" w14:textId="0050F22E" w:rsidR="00645AEF" w:rsidRPr="002E0E3B" w:rsidRDefault="00645AEF" w:rsidP="003307A7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645AEF">
        <w:rPr>
          <w:sz w:val="20"/>
          <w:szCs w:val="20"/>
          <w:lang w:val="fr-FR"/>
        </w:rPr>
        <w:t xml:space="preserve">Un </w:t>
      </w:r>
      <w:r w:rsidR="003307A7" w:rsidRPr="002E0E3B">
        <w:rPr>
          <w:sz w:val="20"/>
          <w:szCs w:val="20"/>
        </w:rPr>
        <w:t>‘</w:t>
      </w:r>
      <w:r w:rsidR="003307A7" w:rsidRPr="002E0E3B">
        <w:rPr>
          <w:i/>
          <w:iCs/>
          <w:sz w:val="20"/>
          <w:szCs w:val="20"/>
        </w:rPr>
        <w:t>Revolving Credit Fund’</w:t>
      </w:r>
      <w:r w:rsidR="003307A7" w:rsidRPr="002E0E3B">
        <w:rPr>
          <w:sz w:val="20"/>
          <w:szCs w:val="20"/>
        </w:rPr>
        <w:t xml:space="preserve"> </w:t>
      </w:r>
      <w:r w:rsidRPr="00645AEF">
        <w:rPr>
          <w:sz w:val="20"/>
          <w:szCs w:val="20"/>
          <w:lang w:val="fr-FR"/>
        </w:rPr>
        <w:t>de 200 millions de roupies a été créé au</w:t>
      </w:r>
      <w:r w:rsidR="003307A7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Bank of Mauritius Ltd pour aider les entreprises dont le chiffre d'affaires peut atteindre 10 millions de roupies</w:t>
      </w:r>
      <w:r w:rsidR="002012CF">
        <w:rPr>
          <w:sz w:val="20"/>
          <w:szCs w:val="20"/>
          <w:lang w:val="fr-FR"/>
        </w:rPr>
        <w:t xml:space="preserve"> pour</w:t>
      </w:r>
      <w:r w:rsidR="003307A7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 xml:space="preserve">atténuer les difficultés de trésorerie </w:t>
      </w:r>
      <w:r w:rsidR="00995C46">
        <w:rPr>
          <w:sz w:val="20"/>
          <w:szCs w:val="20"/>
          <w:lang w:val="fr-FR"/>
        </w:rPr>
        <w:t xml:space="preserve">et ce pour un montant allant </w:t>
      </w:r>
      <w:r w:rsidRPr="002E0E3B">
        <w:rPr>
          <w:sz w:val="20"/>
          <w:szCs w:val="20"/>
          <w:lang w:val="fr-FR"/>
        </w:rPr>
        <w:t>jusqu'à 1 million de roupies avec un remboursement sur 2 ans. L'intérêt</w:t>
      </w:r>
      <w:r w:rsidR="003307A7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ne sera pas payable si le prêt est remboursé dans les 9 mois. Sinon, l'intérêt sera à un</w:t>
      </w:r>
      <w:r w:rsidR="003307A7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taux de 6% par an</w:t>
      </w:r>
      <w:r w:rsidR="003307A7" w:rsidRPr="002E0E3B">
        <w:rPr>
          <w:sz w:val="20"/>
          <w:szCs w:val="20"/>
          <w:lang w:val="fr-FR"/>
        </w:rPr>
        <w:t>.</w:t>
      </w:r>
    </w:p>
    <w:p w14:paraId="7C63B0A5" w14:textId="0403A94F" w:rsidR="00F955DF" w:rsidRPr="00A14551" w:rsidRDefault="0046246D" w:rsidP="002E0E3B">
      <w:pPr>
        <w:jc w:val="both"/>
        <w:rPr>
          <w:sz w:val="20"/>
          <w:szCs w:val="20"/>
          <w:lang w:val="en-GB"/>
        </w:rPr>
      </w:pPr>
      <w:r w:rsidRPr="00A14551">
        <w:rPr>
          <w:sz w:val="20"/>
          <w:szCs w:val="20"/>
          <w:lang w:val="en-GB"/>
        </w:rPr>
        <w:t xml:space="preserve">Le </w:t>
      </w:r>
      <w:r w:rsidR="00CE5C80" w:rsidRPr="00A14551">
        <w:rPr>
          <w:sz w:val="20"/>
          <w:szCs w:val="20"/>
          <w:lang w:val="en-GB"/>
        </w:rPr>
        <w:t>C</w:t>
      </w:r>
      <w:r w:rsidR="00286D85" w:rsidRPr="00A14551">
        <w:rPr>
          <w:sz w:val="20"/>
          <w:szCs w:val="20"/>
          <w:lang w:val="en-GB"/>
        </w:rPr>
        <w:t>ovid</w:t>
      </w:r>
      <w:r w:rsidR="00CE5C80" w:rsidRPr="00A14551">
        <w:rPr>
          <w:sz w:val="20"/>
          <w:szCs w:val="20"/>
          <w:lang w:val="en-GB"/>
        </w:rPr>
        <w:t xml:space="preserve">-19  ‘Plan  de  </w:t>
      </w:r>
      <w:proofErr w:type="spellStart"/>
      <w:r w:rsidR="00CE5C80" w:rsidRPr="00A14551">
        <w:rPr>
          <w:sz w:val="20"/>
          <w:szCs w:val="20"/>
          <w:lang w:val="en-GB"/>
        </w:rPr>
        <w:t>Soutien</w:t>
      </w:r>
      <w:proofErr w:type="spellEnd"/>
      <w:r w:rsidR="00CE5C80" w:rsidRPr="00A14551">
        <w:rPr>
          <w:sz w:val="20"/>
          <w:szCs w:val="20"/>
          <w:lang w:val="en-GB"/>
        </w:rPr>
        <w:t xml:space="preserve">’  Cell </w:t>
      </w:r>
      <w:r w:rsidR="00891E17" w:rsidRPr="00A14551">
        <w:rPr>
          <w:sz w:val="20"/>
          <w:szCs w:val="20"/>
          <w:lang w:val="en-GB"/>
        </w:rPr>
        <w:t xml:space="preserve">a </w:t>
      </w:r>
      <w:proofErr w:type="spellStart"/>
      <w:r w:rsidR="00891E17" w:rsidRPr="00A14551">
        <w:rPr>
          <w:sz w:val="20"/>
          <w:szCs w:val="20"/>
          <w:lang w:val="en-GB"/>
        </w:rPr>
        <w:t>été</w:t>
      </w:r>
      <w:proofErr w:type="spellEnd"/>
      <w:r w:rsidR="00891E17" w:rsidRPr="00A14551">
        <w:rPr>
          <w:sz w:val="20"/>
          <w:szCs w:val="20"/>
          <w:lang w:val="en-GB"/>
        </w:rPr>
        <w:t xml:space="preserve"> </w:t>
      </w:r>
      <w:proofErr w:type="spellStart"/>
      <w:r w:rsidR="006F645D" w:rsidRPr="00A14551">
        <w:rPr>
          <w:sz w:val="20"/>
          <w:szCs w:val="20"/>
          <w:lang w:val="en-GB"/>
        </w:rPr>
        <w:t>créé</w:t>
      </w:r>
      <w:proofErr w:type="spellEnd"/>
      <w:r w:rsidR="00891E17" w:rsidRPr="00A14551">
        <w:rPr>
          <w:sz w:val="20"/>
          <w:szCs w:val="20"/>
          <w:lang w:val="en-GB"/>
        </w:rPr>
        <w:t xml:space="preserve"> et </w:t>
      </w:r>
      <w:proofErr w:type="spellStart"/>
      <w:r w:rsidR="00891E17" w:rsidRPr="00A14551">
        <w:rPr>
          <w:sz w:val="20"/>
          <w:szCs w:val="20"/>
          <w:lang w:val="en-GB"/>
        </w:rPr>
        <w:t>comprend</w:t>
      </w:r>
      <w:proofErr w:type="spellEnd"/>
      <w:r w:rsidR="00891E17" w:rsidRPr="00A14551">
        <w:rPr>
          <w:sz w:val="20"/>
          <w:szCs w:val="20"/>
          <w:lang w:val="en-GB"/>
        </w:rPr>
        <w:t xml:space="preserve"> </w:t>
      </w:r>
      <w:r w:rsidR="007F4B85" w:rsidRPr="00A14551">
        <w:rPr>
          <w:sz w:val="20"/>
          <w:szCs w:val="20"/>
          <w:lang w:val="en-GB"/>
        </w:rPr>
        <w:t xml:space="preserve">State Investment Corporation Limited (SIC), Investment Support Programme Limited (ISP), SME Equity Fund Ltd (SEF) and Development Bank of Mauritius Ltd (DBM). </w:t>
      </w:r>
    </w:p>
    <w:p w14:paraId="0E7E85BD" w14:textId="77777777" w:rsidR="00084DDB" w:rsidRPr="00084DDB" w:rsidRDefault="00084DDB" w:rsidP="002E0E3B">
      <w:pPr>
        <w:spacing w:after="0"/>
        <w:jc w:val="both"/>
        <w:rPr>
          <w:sz w:val="20"/>
          <w:szCs w:val="20"/>
          <w:lang w:val="fr-FR"/>
        </w:rPr>
      </w:pPr>
      <w:r w:rsidRPr="00084DDB">
        <w:rPr>
          <w:sz w:val="20"/>
          <w:szCs w:val="20"/>
          <w:lang w:val="fr-FR"/>
        </w:rPr>
        <w:lastRenderedPageBreak/>
        <w:t>Toutes les demandes doivent être soumises à -</w:t>
      </w:r>
    </w:p>
    <w:p w14:paraId="2EA59D5D" w14:textId="478DA79C" w:rsidR="00672CFC" w:rsidRPr="00A14551" w:rsidRDefault="00084DDB" w:rsidP="00084DDB">
      <w:pPr>
        <w:spacing w:after="0"/>
        <w:ind w:left="360"/>
        <w:jc w:val="both"/>
        <w:rPr>
          <w:sz w:val="20"/>
          <w:szCs w:val="20"/>
          <w:lang w:val="en-GB"/>
        </w:rPr>
      </w:pPr>
      <w:r w:rsidRPr="00A14551">
        <w:rPr>
          <w:sz w:val="20"/>
          <w:szCs w:val="20"/>
          <w:lang w:val="en-GB"/>
        </w:rPr>
        <w:t>Covid-</w:t>
      </w:r>
      <w:r w:rsidR="005B1CE9" w:rsidRPr="00A14551">
        <w:rPr>
          <w:sz w:val="20"/>
          <w:szCs w:val="20"/>
          <w:lang w:val="en-GB"/>
        </w:rPr>
        <w:t>19 ‘</w:t>
      </w:r>
      <w:r w:rsidRPr="00A14551">
        <w:rPr>
          <w:sz w:val="20"/>
          <w:szCs w:val="20"/>
          <w:lang w:val="en-GB"/>
        </w:rPr>
        <w:t xml:space="preserve">Plan  de  Soutien’ Cell </w:t>
      </w:r>
    </w:p>
    <w:p w14:paraId="1B6BE783" w14:textId="77777777" w:rsidR="008F4470" w:rsidRPr="002E0E3B" w:rsidRDefault="008F4470" w:rsidP="008F4470">
      <w:pPr>
        <w:spacing w:after="0"/>
        <w:ind w:left="360"/>
        <w:jc w:val="both"/>
        <w:rPr>
          <w:sz w:val="20"/>
          <w:szCs w:val="20"/>
          <w:lang w:val="en-GB"/>
        </w:rPr>
      </w:pPr>
      <w:r w:rsidRPr="002E0E3B">
        <w:rPr>
          <w:sz w:val="20"/>
          <w:szCs w:val="20"/>
          <w:lang w:val="en-GB"/>
        </w:rPr>
        <w:t>Ground Floor of DBM Building,</w:t>
      </w:r>
    </w:p>
    <w:p w14:paraId="159D5858" w14:textId="77777777" w:rsidR="008F4470" w:rsidRPr="002E0E3B" w:rsidRDefault="008F4470" w:rsidP="008F4470">
      <w:pPr>
        <w:spacing w:after="0"/>
        <w:ind w:left="360"/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Chaussée Street,</w:t>
      </w:r>
    </w:p>
    <w:p w14:paraId="5052F3F2" w14:textId="77777777" w:rsidR="008F4470" w:rsidRPr="002E0E3B" w:rsidRDefault="008F4470" w:rsidP="008F4470">
      <w:pPr>
        <w:spacing w:after="0"/>
        <w:ind w:left="360"/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Port Louis.</w:t>
      </w:r>
    </w:p>
    <w:p w14:paraId="19656BCD" w14:textId="77777777" w:rsidR="008F4470" w:rsidRPr="002E0E3B" w:rsidRDefault="008F4470" w:rsidP="008F4470">
      <w:pPr>
        <w:spacing w:after="0"/>
        <w:ind w:left="360"/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Fax: 208 8309</w:t>
      </w:r>
    </w:p>
    <w:p w14:paraId="27544BF4" w14:textId="661677B6" w:rsidR="008F4470" w:rsidRPr="002E0E3B" w:rsidRDefault="008F4470" w:rsidP="008F4470">
      <w:pPr>
        <w:spacing w:after="0"/>
        <w:ind w:left="360"/>
        <w:jc w:val="both"/>
        <w:rPr>
          <w:sz w:val="20"/>
          <w:szCs w:val="20"/>
          <w:lang w:val="en-GB"/>
        </w:rPr>
      </w:pPr>
      <w:r w:rsidRPr="002E0E3B">
        <w:rPr>
          <w:sz w:val="20"/>
          <w:szCs w:val="20"/>
          <w:lang w:val="en-GB"/>
        </w:rPr>
        <w:t xml:space="preserve">E-mail: </w:t>
      </w:r>
      <w:hyperlink r:id="rId11" w:history="1">
        <w:r w:rsidRPr="002E0E3B">
          <w:rPr>
            <w:rStyle w:val="Hyperlink"/>
            <w:sz w:val="20"/>
            <w:szCs w:val="20"/>
            <w:lang w:val="en-GB"/>
          </w:rPr>
          <w:t>covid19support@stateinvestment.mu</w:t>
        </w:r>
      </w:hyperlink>
      <w:r w:rsidRPr="002E0E3B">
        <w:rPr>
          <w:sz w:val="20"/>
          <w:szCs w:val="20"/>
          <w:lang w:val="en-GB"/>
        </w:rPr>
        <w:t xml:space="preserve"> </w:t>
      </w:r>
    </w:p>
    <w:p w14:paraId="74E88EA5" w14:textId="77777777" w:rsidR="008F4470" w:rsidRPr="002E0E3B" w:rsidRDefault="008F4470" w:rsidP="008F4470">
      <w:pPr>
        <w:spacing w:after="0"/>
        <w:ind w:left="360"/>
        <w:jc w:val="both"/>
        <w:rPr>
          <w:sz w:val="20"/>
          <w:szCs w:val="20"/>
          <w:lang w:val="en-GB"/>
        </w:rPr>
      </w:pPr>
    </w:p>
    <w:p w14:paraId="0271CDEA" w14:textId="06FB61EE" w:rsidR="00CE5C80" w:rsidRPr="002E0E3B" w:rsidRDefault="00CE5C80" w:rsidP="008F4470">
      <w:pPr>
        <w:spacing w:after="0"/>
        <w:ind w:left="360"/>
        <w:jc w:val="both"/>
        <w:rPr>
          <w:sz w:val="20"/>
          <w:szCs w:val="20"/>
          <w:lang w:val="en-GB"/>
        </w:rPr>
      </w:pPr>
      <w:r w:rsidRPr="002E0E3B">
        <w:rPr>
          <w:sz w:val="20"/>
          <w:szCs w:val="20"/>
          <w:lang w:val="en-GB"/>
        </w:rPr>
        <w:t>Hotline: 260 9200</w:t>
      </w:r>
    </w:p>
    <w:p w14:paraId="3AA32AE3" w14:textId="20B116B8" w:rsidR="00FC1321" w:rsidRPr="002E0E3B" w:rsidRDefault="00FC1321" w:rsidP="000B333D">
      <w:pPr>
        <w:spacing w:after="0"/>
        <w:ind w:left="360"/>
        <w:jc w:val="both"/>
        <w:rPr>
          <w:sz w:val="20"/>
          <w:szCs w:val="20"/>
          <w:lang w:val="en-GB"/>
        </w:rPr>
      </w:pPr>
    </w:p>
    <w:p w14:paraId="44C14991" w14:textId="6E830C39" w:rsidR="00FC1321" w:rsidRPr="002E0E3B" w:rsidRDefault="00995C46" w:rsidP="003409F8">
      <w:pPr>
        <w:pStyle w:val="ListParagraph"/>
        <w:numPr>
          <w:ilvl w:val="0"/>
          <w:numId w:val="4"/>
        </w:numPr>
        <w:spacing w:after="0"/>
        <w:ind w:left="1134" w:hanging="850"/>
        <w:jc w:val="both"/>
        <w:rPr>
          <w:b/>
          <w:bCs/>
          <w:color w:val="4472C4" w:themeColor="accent1"/>
          <w:sz w:val="20"/>
          <w:szCs w:val="20"/>
          <w:u w:val="single"/>
          <w:lang w:val="fr-FR"/>
        </w:rPr>
      </w:pPr>
      <w:r>
        <w:rPr>
          <w:b/>
          <w:bCs/>
          <w:color w:val="4472C4" w:themeColor="accent1"/>
          <w:sz w:val="20"/>
          <w:szCs w:val="20"/>
          <w:u w:val="single"/>
          <w:lang w:val="fr-FR"/>
        </w:rPr>
        <w:t>Soutien supplémentaire aux foyers et aux commerces</w:t>
      </w:r>
    </w:p>
    <w:p w14:paraId="2ACF5B15" w14:textId="3FB1D8CF" w:rsidR="002A63C5" w:rsidRPr="002E0E3B" w:rsidRDefault="002A63C5" w:rsidP="002A63C5">
      <w:pPr>
        <w:spacing w:after="0"/>
        <w:jc w:val="both"/>
        <w:rPr>
          <w:b/>
          <w:bCs/>
          <w:color w:val="4472C4" w:themeColor="accent1"/>
          <w:sz w:val="20"/>
          <w:szCs w:val="20"/>
          <w:u w:val="single"/>
          <w:lang w:val="fr-FR"/>
        </w:rPr>
      </w:pPr>
    </w:p>
    <w:p w14:paraId="7240ED30" w14:textId="3478CBC9" w:rsidR="00DA5BD9" w:rsidRPr="002E0E3B" w:rsidRDefault="00995C46" w:rsidP="00C83062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b/>
          <w:bCs/>
          <w:color w:val="4472C4" w:themeColor="accent1"/>
          <w:sz w:val="20"/>
          <w:szCs w:val="20"/>
          <w:lang w:val="fr-FR"/>
        </w:rPr>
      </w:pPr>
      <w:r>
        <w:rPr>
          <w:b/>
          <w:bCs/>
          <w:color w:val="4472C4" w:themeColor="accent1"/>
          <w:sz w:val="20"/>
          <w:szCs w:val="20"/>
          <w:lang w:val="fr-FR"/>
        </w:rPr>
        <w:t>Soutien aux foyers</w:t>
      </w:r>
    </w:p>
    <w:p w14:paraId="6591C8CA" w14:textId="4AA51D6F" w:rsidR="00134EB6" w:rsidRPr="00134EB6" w:rsidRDefault="00134EB6" w:rsidP="00134EB6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134EB6">
        <w:rPr>
          <w:sz w:val="20"/>
          <w:szCs w:val="20"/>
          <w:lang w:val="fr-FR"/>
        </w:rPr>
        <w:t xml:space="preserve">Les ménages mauriciens touchés par </w:t>
      </w:r>
      <w:r w:rsidR="00995C46">
        <w:rPr>
          <w:sz w:val="20"/>
          <w:szCs w:val="20"/>
          <w:lang w:val="fr-FR"/>
        </w:rPr>
        <w:t xml:space="preserve">le </w:t>
      </w:r>
      <w:r w:rsidRPr="00134EB6">
        <w:rPr>
          <w:sz w:val="20"/>
          <w:szCs w:val="20"/>
          <w:lang w:val="fr-FR"/>
        </w:rPr>
        <w:t>COVID-19 peuvent demander à leurs banques commerciales</w:t>
      </w:r>
    </w:p>
    <w:p w14:paraId="24D0E3FF" w14:textId="30840244" w:rsidR="00134EB6" w:rsidRPr="00134EB6" w:rsidRDefault="00134EB6" w:rsidP="00134EB6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134EB6">
        <w:rPr>
          <w:sz w:val="20"/>
          <w:szCs w:val="20"/>
          <w:lang w:val="fr-FR"/>
        </w:rPr>
        <w:t xml:space="preserve">un moratoire de 6 mois sur les remboursements en capital de leur </w:t>
      </w:r>
      <w:r w:rsidR="00995C46">
        <w:rPr>
          <w:sz w:val="20"/>
          <w:szCs w:val="20"/>
          <w:lang w:val="fr-FR"/>
        </w:rPr>
        <w:t>prêt familial</w:t>
      </w:r>
      <w:r w:rsidR="00995C46" w:rsidRPr="00134EB6">
        <w:rPr>
          <w:sz w:val="20"/>
          <w:szCs w:val="20"/>
          <w:lang w:val="fr-FR"/>
        </w:rPr>
        <w:t xml:space="preserve"> </w:t>
      </w:r>
      <w:r w:rsidRPr="00134EB6">
        <w:rPr>
          <w:sz w:val="20"/>
          <w:szCs w:val="20"/>
          <w:lang w:val="fr-FR"/>
        </w:rPr>
        <w:t>existant</w:t>
      </w:r>
    </w:p>
    <w:p w14:paraId="283235CB" w14:textId="469C4F12" w:rsidR="00134EB6" w:rsidRPr="002E0E3B" w:rsidRDefault="00134EB6" w:rsidP="00134EB6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134EB6">
        <w:rPr>
          <w:sz w:val="20"/>
          <w:szCs w:val="20"/>
          <w:lang w:val="fr-FR"/>
        </w:rPr>
        <w:t>à partir du 1er avril 2020.</w:t>
      </w:r>
      <w:r w:rsidRPr="002E0E3B">
        <w:rPr>
          <w:sz w:val="20"/>
          <w:szCs w:val="20"/>
          <w:lang w:val="fr-FR"/>
        </w:rPr>
        <w:t xml:space="preserve"> En outre, pour les ménages gagnant un salaire de base mensuel combiné pouvant aller jusqu'à </w:t>
      </w:r>
      <w:proofErr w:type="spellStart"/>
      <w:r w:rsidRPr="002E0E3B">
        <w:rPr>
          <w:sz w:val="20"/>
          <w:szCs w:val="20"/>
          <w:lang w:val="fr-FR"/>
        </w:rPr>
        <w:t>Rs</w:t>
      </w:r>
      <w:proofErr w:type="spellEnd"/>
      <w:r w:rsidRPr="002E0E3B">
        <w:rPr>
          <w:sz w:val="20"/>
          <w:szCs w:val="20"/>
          <w:lang w:val="fr-FR"/>
        </w:rPr>
        <w:t xml:space="preserve"> 50 000</w:t>
      </w:r>
      <w:r w:rsidR="00995C46">
        <w:rPr>
          <w:sz w:val="20"/>
          <w:szCs w:val="20"/>
          <w:lang w:val="fr-FR"/>
        </w:rPr>
        <w:t>,</w:t>
      </w:r>
      <w:r w:rsidRPr="002E0E3B">
        <w:rPr>
          <w:sz w:val="20"/>
          <w:szCs w:val="20"/>
          <w:lang w:val="fr-FR"/>
        </w:rPr>
        <w:t xml:space="preserve"> la Banque de Maurice </w:t>
      </w:r>
      <w:r w:rsidR="00995C46">
        <w:rPr>
          <w:sz w:val="20"/>
          <w:szCs w:val="20"/>
          <w:lang w:val="fr-FR"/>
        </w:rPr>
        <w:t>supportera les</w:t>
      </w:r>
      <w:r w:rsidR="00995C46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intérêt</w:t>
      </w:r>
      <w:r w:rsidR="00995C46">
        <w:rPr>
          <w:sz w:val="20"/>
          <w:szCs w:val="20"/>
          <w:lang w:val="fr-FR"/>
        </w:rPr>
        <w:t>s</w:t>
      </w:r>
      <w:r w:rsidRPr="002E0E3B">
        <w:rPr>
          <w:sz w:val="20"/>
          <w:szCs w:val="20"/>
          <w:lang w:val="fr-FR"/>
        </w:rPr>
        <w:t xml:space="preserve"> à payer pour la période du 1er avril 2020 au 30 juin 2020 sur leurs encours de </w:t>
      </w:r>
      <w:r w:rsidR="00995C46">
        <w:rPr>
          <w:sz w:val="20"/>
          <w:szCs w:val="20"/>
          <w:lang w:val="fr-FR"/>
        </w:rPr>
        <w:t>prêt familial</w:t>
      </w:r>
      <w:r w:rsidRPr="002E0E3B">
        <w:rPr>
          <w:sz w:val="20"/>
          <w:szCs w:val="20"/>
          <w:lang w:val="fr-FR"/>
        </w:rPr>
        <w:t xml:space="preserve"> </w:t>
      </w:r>
      <w:proofErr w:type="spellStart"/>
      <w:r w:rsidR="00995C46">
        <w:rPr>
          <w:sz w:val="20"/>
          <w:szCs w:val="20"/>
          <w:lang w:val="fr-FR"/>
        </w:rPr>
        <w:t>contracteé</w:t>
      </w:r>
      <w:proofErr w:type="spellEnd"/>
      <w:r w:rsidR="00995C46">
        <w:rPr>
          <w:sz w:val="20"/>
          <w:szCs w:val="20"/>
          <w:lang w:val="fr-FR"/>
        </w:rPr>
        <w:t xml:space="preserve"> auprès</w:t>
      </w:r>
      <w:r w:rsidRPr="002E0E3B">
        <w:rPr>
          <w:sz w:val="20"/>
          <w:szCs w:val="20"/>
          <w:lang w:val="fr-FR"/>
        </w:rPr>
        <w:t xml:space="preserve"> de </w:t>
      </w:r>
      <w:r w:rsidR="00995C46">
        <w:rPr>
          <w:sz w:val="20"/>
          <w:szCs w:val="20"/>
          <w:lang w:val="fr-FR"/>
        </w:rPr>
        <w:t>b</w:t>
      </w:r>
      <w:r w:rsidRPr="002E0E3B">
        <w:rPr>
          <w:sz w:val="20"/>
          <w:szCs w:val="20"/>
          <w:lang w:val="fr-FR"/>
        </w:rPr>
        <w:t>anques</w:t>
      </w:r>
      <w:r w:rsidR="00995C46">
        <w:rPr>
          <w:sz w:val="20"/>
          <w:szCs w:val="20"/>
          <w:lang w:val="fr-FR"/>
        </w:rPr>
        <w:t xml:space="preserve"> commerciales</w:t>
      </w:r>
      <w:r w:rsidRPr="002E0E3B">
        <w:rPr>
          <w:sz w:val="20"/>
          <w:szCs w:val="20"/>
          <w:lang w:val="fr-FR"/>
        </w:rPr>
        <w:t>. Les termes et conditions seront disponibles auprès des banques commerciales à partir du Lundi 30 mars 2020.</w:t>
      </w:r>
    </w:p>
    <w:p w14:paraId="1285DF7D" w14:textId="77777777" w:rsidR="000A090C" w:rsidRPr="002E0E3B" w:rsidRDefault="000A090C" w:rsidP="00A531A7">
      <w:pPr>
        <w:pStyle w:val="ListParagraph"/>
        <w:ind w:left="1080"/>
        <w:jc w:val="both"/>
        <w:rPr>
          <w:sz w:val="20"/>
          <w:szCs w:val="20"/>
          <w:lang w:val="fr-FR"/>
        </w:rPr>
      </w:pPr>
    </w:p>
    <w:p w14:paraId="63FA289F" w14:textId="77777777" w:rsidR="000A090C" w:rsidRPr="002E0E3B" w:rsidRDefault="00A36399" w:rsidP="0036436C">
      <w:pPr>
        <w:pStyle w:val="ListParagraph"/>
        <w:numPr>
          <w:ilvl w:val="0"/>
          <w:numId w:val="12"/>
        </w:numPr>
        <w:ind w:left="1134" w:hanging="425"/>
        <w:jc w:val="both"/>
        <w:rPr>
          <w:b/>
          <w:bCs/>
          <w:color w:val="4472C4" w:themeColor="accent1"/>
          <w:sz w:val="20"/>
          <w:szCs w:val="20"/>
          <w:lang w:val="en-GB"/>
        </w:rPr>
      </w:pPr>
      <w:r w:rsidRPr="002E0E3B">
        <w:rPr>
          <w:b/>
          <w:bCs/>
          <w:color w:val="4472C4" w:themeColor="accent1"/>
          <w:sz w:val="20"/>
          <w:szCs w:val="20"/>
          <w:lang w:val="en-GB"/>
        </w:rPr>
        <w:t xml:space="preserve">Special Foreign Currency (USD) Line of Credit </w:t>
      </w:r>
    </w:p>
    <w:p w14:paraId="3D073DBA" w14:textId="04011BA9" w:rsidR="00FB27E0" w:rsidRPr="002E0E3B" w:rsidRDefault="00FB27E0" w:rsidP="00FB27E0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FB27E0">
        <w:rPr>
          <w:sz w:val="20"/>
          <w:szCs w:val="20"/>
          <w:lang w:val="fr-FR"/>
        </w:rPr>
        <w:t xml:space="preserve">La Banque de Maurice lance une </w:t>
      </w:r>
      <w:r w:rsidRPr="002E0E3B">
        <w:rPr>
          <w:sz w:val="20"/>
          <w:szCs w:val="20"/>
          <w:lang w:val="fr-FR"/>
        </w:rPr>
        <w:t>‘</w:t>
      </w:r>
      <w:proofErr w:type="spellStart"/>
      <w:r w:rsidRPr="002E0E3B">
        <w:rPr>
          <w:i/>
          <w:iCs/>
          <w:sz w:val="20"/>
          <w:szCs w:val="20"/>
          <w:lang w:val="fr-FR"/>
        </w:rPr>
        <w:t>Special</w:t>
      </w:r>
      <w:proofErr w:type="spellEnd"/>
      <w:r w:rsidRPr="002E0E3B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2E0E3B">
        <w:rPr>
          <w:i/>
          <w:iCs/>
          <w:sz w:val="20"/>
          <w:szCs w:val="20"/>
          <w:lang w:val="fr-FR"/>
        </w:rPr>
        <w:t>Foreign</w:t>
      </w:r>
      <w:proofErr w:type="spellEnd"/>
      <w:r w:rsidRPr="002E0E3B">
        <w:rPr>
          <w:i/>
          <w:iCs/>
          <w:sz w:val="20"/>
          <w:szCs w:val="20"/>
          <w:lang w:val="fr-FR"/>
        </w:rPr>
        <w:t xml:space="preserve"> Currency (USD) Line of Credit</w:t>
      </w:r>
      <w:r w:rsidRPr="002E0E3B">
        <w:rPr>
          <w:sz w:val="20"/>
          <w:szCs w:val="20"/>
          <w:lang w:val="fr-FR"/>
        </w:rPr>
        <w:t xml:space="preserve">’ </w:t>
      </w:r>
      <w:r w:rsidRPr="00FB27E0">
        <w:rPr>
          <w:sz w:val="20"/>
          <w:szCs w:val="20"/>
          <w:lang w:val="fr-FR"/>
        </w:rPr>
        <w:t>ciblant les opérateurs ayant des revenus en devises, y compris les PME.</w:t>
      </w:r>
      <w:r w:rsidRPr="002E0E3B">
        <w:rPr>
          <w:sz w:val="20"/>
          <w:szCs w:val="20"/>
          <w:lang w:val="fr-FR"/>
        </w:rPr>
        <w:t xml:space="preserve"> Cette ligne de crédit sera d'un montant de 300 millions USD, </w:t>
      </w:r>
      <w:r w:rsidR="00995C46">
        <w:rPr>
          <w:sz w:val="20"/>
          <w:szCs w:val="20"/>
          <w:lang w:val="fr-FR"/>
        </w:rPr>
        <w:t>qui sera mis</w:t>
      </w:r>
      <w:r w:rsidRPr="002E0E3B">
        <w:rPr>
          <w:sz w:val="20"/>
          <w:szCs w:val="20"/>
          <w:lang w:val="fr-FR"/>
        </w:rPr>
        <w:t xml:space="preserve"> à disposition par le biais des banques commerciales. Les fonds seront mis à la disposition des banques commerciales</w:t>
      </w:r>
      <w:r w:rsidR="00995C46">
        <w:rPr>
          <w:sz w:val="20"/>
          <w:szCs w:val="20"/>
          <w:lang w:val="fr-FR"/>
        </w:rPr>
        <w:t xml:space="preserve"> au taux de</w:t>
      </w:r>
      <w:r w:rsidR="00995C46" w:rsidRPr="002E0E3B">
        <w:rPr>
          <w:sz w:val="20"/>
          <w:szCs w:val="20"/>
          <w:lang w:val="fr-FR"/>
        </w:rPr>
        <w:t xml:space="preserve"> USD</w:t>
      </w:r>
      <w:r w:rsidR="00995C46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>Libor</w:t>
      </w:r>
      <w:r w:rsidR="00995C46">
        <w:rPr>
          <w:sz w:val="20"/>
          <w:szCs w:val="20"/>
          <w:lang w:val="fr-FR"/>
        </w:rPr>
        <w:t>+6 mois</w:t>
      </w:r>
      <w:r w:rsidRPr="002E0E3B">
        <w:rPr>
          <w:sz w:val="20"/>
          <w:szCs w:val="20"/>
          <w:lang w:val="fr-FR"/>
        </w:rPr>
        <w:t xml:space="preserve"> pour cette facilité.</w:t>
      </w:r>
    </w:p>
    <w:p w14:paraId="29DC05FE" w14:textId="7DC0C846" w:rsidR="00FB27E0" w:rsidRPr="002E0E3B" w:rsidRDefault="00FB27E0" w:rsidP="00FB27E0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FB27E0">
        <w:rPr>
          <w:sz w:val="20"/>
          <w:szCs w:val="20"/>
          <w:lang w:val="fr-FR"/>
        </w:rPr>
        <w:t>Cette ligne de crédit sera disponible du 24 mars 2020 au 30 juin</w:t>
      </w:r>
      <w:r w:rsidRPr="002E0E3B">
        <w:rPr>
          <w:sz w:val="20"/>
          <w:szCs w:val="20"/>
          <w:lang w:val="fr-FR"/>
        </w:rPr>
        <w:t xml:space="preserve"> 2020 et le remboursement se fera sur une période de 2 ans à compter de la date décaissement.</w:t>
      </w:r>
    </w:p>
    <w:p w14:paraId="30176851" w14:textId="216A546C" w:rsidR="00D61E8D" w:rsidRPr="002E0E3B" w:rsidRDefault="00FB27E0" w:rsidP="000A090C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 xml:space="preserve"> </w:t>
      </w:r>
    </w:p>
    <w:p w14:paraId="02594F89" w14:textId="398ECA2F" w:rsidR="00EF5CC2" w:rsidRPr="002E0E3B" w:rsidRDefault="001D7A21" w:rsidP="0036436C">
      <w:pPr>
        <w:pStyle w:val="ListParagraph"/>
        <w:numPr>
          <w:ilvl w:val="0"/>
          <w:numId w:val="12"/>
        </w:numPr>
        <w:spacing w:after="0"/>
        <w:ind w:left="1134" w:hanging="425"/>
        <w:jc w:val="both"/>
        <w:rPr>
          <w:b/>
          <w:bCs/>
          <w:color w:val="4472C4" w:themeColor="accent1"/>
          <w:sz w:val="20"/>
          <w:szCs w:val="20"/>
          <w:lang w:val="en-GB"/>
        </w:rPr>
      </w:pPr>
      <w:r w:rsidRPr="002E0E3B">
        <w:rPr>
          <w:b/>
          <w:bCs/>
          <w:color w:val="4472C4" w:themeColor="accent1"/>
          <w:sz w:val="20"/>
          <w:szCs w:val="20"/>
          <w:lang w:val="en-GB"/>
        </w:rPr>
        <w:t>Swap Arrangement </w:t>
      </w:r>
    </w:p>
    <w:p w14:paraId="682D01E4" w14:textId="4559C153" w:rsidR="00DA5BD9" w:rsidRPr="002E0E3B" w:rsidRDefault="00E24275" w:rsidP="00E24275">
      <w:pPr>
        <w:pStyle w:val="ListParagraph"/>
        <w:ind w:left="1080"/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La Banque de Maurice met en place un ‘</w:t>
      </w:r>
      <w:r w:rsidRPr="002E0E3B">
        <w:rPr>
          <w:i/>
          <w:iCs/>
          <w:sz w:val="20"/>
          <w:szCs w:val="20"/>
          <w:lang w:val="fr-FR"/>
        </w:rPr>
        <w:t>USD/MUR swap arrangement</w:t>
      </w:r>
      <w:r w:rsidRPr="002E0E3B">
        <w:rPr>
          <w:sz w:val="20"/>
          <w:szCs w:val="20"/>
          <w:lang w:val="fr-FR"/>
        </w:rPr>
        <w:t xml:space="preserve">’ avec </w:t>
      </w:r>
      <w:r w:rsidR="006F53EE">
        <w:rPr>
          <w:sz w:val="20"/>
          <w:szCs w:val="20"/>
          <w:lang w:val="fr-FR"/>
        </w:rPr>
        <w:t xml:space="preserve">les </w:t>
      </w:r>
      <w:r w:rsidRPr="002E0E3B">
        <w:rPr>
          <w:sz w:val="20"/>
          <w:szCs w:val="20"/>
          <w:lang w:val="fr-FR"/>
        </w:rPr>
        <w:t xml:space="preserve">banques commerciales pour un montant initial de 100 millions </w:t>
      </w:r>
      <w:r w:rsidR="006F53EE">
        <w:rPr>
          <w:sz w:val="20"/>
          <w:szCs w:val="20"/>
          <w:lang w:val="fr-FR"/>
        </w:rPr>
        <w:t>USD</w:t>
      </w:r>
      <w:r w:rsidRPr="002E0E3B">
        <w:rPr>
          <w:sz w:val="20"/>
          <w:szCs w:val="20"/>
          <w:lang w:val="fr-FR"/>
        </w:rPr>
        <w:t xml:space="preserve">. Cet arrangement permettra aux banques commerciales de soutenir les entreprises, à l'exception de la State Trading Corporation qui traitera directement avec la Banque de Maurice pour ses besoins en devises jusqu'à nouvel ordre. </w:t>
      </w:r>
      <w:r w:rsidR="00206C42">
        <w:rPr>
          <w:sz w:val="20"/>
          <w:szCs w:val="20"/>
          <w:lang w:val="fr-FR"/>
        </w:rPr>
        <w:t xml:space="preserve">Le </w:t>
      </w:r>
      <w:r w:rsidR="00206C42" w:rsidRPr="002E0E3B">
        <w:rPr>
          <w:sz w:val="20"/>
          <w:szCs w:val="20"/>
          <w:lang w:val="fr-FR"/>
        </w:rPr>
        <w:t>‘</w:t>
      </w:r>
      <w:r w:rsidR="00206C42" w:rsidRPr="002E0E3B">
        <w:rPr>
          <w:i/>
          <w:iCs/>
          <w:sz w:val="20"/>
          <w:szCs w:val="20"/>
          <w:lang w:val="fr-FR"/>
        </w:rPr>
        <w:t xml:space="preserve">USD/MUR swap </w:t>
      </w:r>
      <w:proofErr w:type="spellStart"/>
      <w:r w:rsidR="00206C42" w:rsidRPr="002E0E3B">
        <w:rPr>
          <w:i/>
          <w:iCs/>
          <w:sz w:val="20"/>
          <w:szCs w:val="20"/>
          <w:lang w:val="fr-FR"/>
        </w:rPr>
        <w:t>arrangement</w:t>
      </w:r>
      <w:r w:rsidR="00206C42" w:rsidRPr="002E0E3B">
        <w:rPr>
          <w:sz w:val="20"/>
          <w:szCs w:val="20"/>
          <w:lang w:val="fr-FR"/>
        </w:rPr>
        <w:t>’</w:t>
      </w:r>
      <w:r w:rsidRPr="002E0E3B">
        <w:rPr>
          <w:sz w:val="20"/>
          <w:szCs w:val="20"/>
          <w:lang w:val="fr-FR"/>
        </w:rPr>
        <w:t>sera</w:t>
      </w:r>
      <w:proofErr w:type="spellEnd"/>
      <w:r w:rsidRPr="002E0E3B">
        <w:rPr>
          <w:sz w:val="20"/>
          <w:szCs w:val="20"/>
          <w:lang w:val="fr-FR"/>
        </w:rPr>
        <w:t xml:space="preserve"> effectif à partir du 24 mars 2020 jusqu'au 30 juin 2020.</w:t>
      </w:r>
    </w:p>
    <w:p w14:paraId="55F6F951" w14:textId="77777777" w:rsidR="002E0E3B" w:rsidRDefault="002E0E3B" w:rsidP="000A1B49">
      <w:pPr>
        <w:jc w:val="both"/>
        <w:rPr>
          <w:sz w:val="20"/>
          <w:szCs w:val="20"/>
          <w:lang w:val="fr-FR"/>
        </w:rPr>
      </w:pPr>
    </w:p>
    <w:p w14:paraId="46CCD540" w14:textId="71170D49" w:rsidR="00D977E6" w:rsidRDefault="00B12278" w:rsidP="000A1B49">
      <w:pPr>
        <w:jc w:val="both"/>
        <w:rPr>
          <w:sz w:val="20"/>
          <w:szCs w:val="20"/>
          <w:lang w:val="fr-FR"/>
        </w:rPr>
      </w:pPr>
      <w:r w:rsidRPr="002E0E3B">
        <w:rPr>
          <w:sz w:val="20"/>
          <w:szCs w:val="20"/>
          <w:lang w:val="fr-FR"/>
        </w:rPr>
        <w:t>Les entreprises peuvent avoir accès à ces aides via leurs banques commerciales</w:t>
      </w:r>
      <w:r w:rsidR="000A1B49" w:rsidRPr="002E0E3B">
        <w:rPr>
          <w:sz w:val="20"/>
          <w:szCs w:val="20"/>
          <w:lang w:val="fr-FR"/>
        </w:rPr>
        <w:t xml:space="preserve">. </w:t>
      </w:r>
      <w:r w:rsidRPr="002E0E3B">
        <w:rPr>
          <w:sz w:val="20"/>
          <w:szCs w:val="20"/>
          <w:lang w:val="fr-FR"/>
        </w:rPr>
        <w:t>Toute clarification ou</w:t>
      </w:r>
      <w:r w:rsidR="000A1B49" w:rsidRPr="002E0E3B">
        <w:rPr>
          <w:sz w:val="20"/>
          <w:szCs w:val="20"/>
          <w:lang w:val="fr-FR"/>
        </w:rPr>
        <w:t xml:space="preserve"> </w:t>
      </w:r>
      <w:r w:rsidRPr="002E0E3B">
        <w:rPr>
          <w:sz w:val="20"/>
          <w:szCs w:val="20"/>
          <w:lang w:val="fr-FR"/>
        </w:rPr>
        <w:t xml:space="preserve">information complémentaire peut être adressée à la Banque de Maurice sur </w:t>
      </w:r>
      <w:hyperlink r:id="rId12" w:history="1">
        <w:r w:rsidR="008D1BE3" w:rsidRPr="009D43D2">
          <w:rPr>
            <w:rStyle w:val="Hyperlink"/>
            <w:sz w:val="20"/>
            <w:szCs w:val="20"/>
            <w:lang w:val="fr-FR"/>
          </w:rPr>
          <w:t>communications@bom.mu</w:t>
        </w:r>
      </w:hyperlink>
    </w:p>
    <w:p w14:paraId="4140FB4E" w14:textId="1C659D70" w:rsidR="008D1BE3" w:rsidRDefault="008D1BE3" w:rsidP="000A1B49">
      <w:pPr>
        <w:jc w:val="both"/>
        <w:rPr>
          <w:sz w:val="20"/>
          <w:szCs w:val="20"/>
          <w:lang w:val="fr-FR"/>
        </w:rPr>
      </w:pPr>
    </w:p>
    <w:p w14:paraId="0155852B" w14:textId="4C1E909B" w:rsidR="008D1BE3" w:rsidRDefault="008D1BE3" w:rsidP="000A1B49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 document est uniquement à titre informa</w:t>
      </w:r>
      <w:r w:rsidR="00A60CEF">
        <w:rPr>
          <w:sz w:val="20"/>
          <w:szCs w:val="20"/>
          <w:lang w:val="fr-FR"/>
        </w:rPr>
        <w:t>tif. Veuillez visiter le site du Ministère des Finances en cliquant sur le lien ci-dessous pour plus de détails :</w:t>
      </w:r>
    </w:p>
    <w:p w14:paraId="1DE8D66D" w14:textId="77777777" w:rsidR="00CC7FD0" w:rsidRPr="00A14551" w:rsidRDefault="00CC7FD0" w:rsidP="00CC7FD0">
      <w:pPr>
        <w:jc w:val="both"/>
        <w:rPr>
          <w:sz w:val="20"/>
          <w:szCs w:val="20"/>
          <w:lang w:val="fr-FR"/>
        </w:rPr>
      </w:pPr>
      <w:hyperlink r:id="rId13" w:history="1">
        <w:r w:rsidRPr="00A14551">
          <w:rPr>
            <w:rStyle w:val="Hyperlink"/>
            <w:sz w:val="20"/>
            <w:szCs w:val="20"/>
            <w:lang w:val="fr-FR"/>
          </w:rPr>
          <w:t>http://mof.govmu.org/English/Covid-19/Pages/default.aspx</w:t>
        </w:r>
      </w:hyperlink>
    </w:p>
    <w:p w14:paraId="4B9E5FBA" w14:textId="77777777" w:rsidR="00A60CEF" w:rsidRPr="002E0E3B" w:rsidRDefault="00A60CEF" w:rsidP="000A1B49">
      <w:pPr>
        <w:jc w:val="both"/>
        <w:rPr>
          <w:sz w:val="20"/>
          <w:szCs w:val="20"/>
          <w:lang w:val="fr-FR"/>
        </w:rPr>
      </w:pPr>
    </w:p>
    <w:sectPr w:rsidR="00A60CEF" w:rsidRPr="002E0E3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7E7F" w14:textId="77777777" w:rsidR="00CF23F0" w:rsidRDefault="00CF23F0" w:rsidP="00CE5C80">
      <w:pPr>
        <w:spacing w:after="0" w:line="240" w:lineRule="auto"/>
      </w:pPr>
      <w:r>
        <w:separator/>
      </w:r>
    </w:p>
  </w:endnote>
  <w:endnote w:type="continuationSeparator" w:id="0">
    <w:p w14:paraId="0876A1A6" w14:textId="77777777" w:rsidR="00CF23F0" w:rsidRDefault="00CF23F0" w:rsidP="00CE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967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33048" w14:textId="154A7A2D" w:rsidR="00CE5C80" w:rsidRDefault="00CE5C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7933" w14:textId="77777777" w:rsidR="00CE5C80" w:rsidRDefault="00CE5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514C" w14:textId="77777777" w:rsidR="00CF23F0" w:rsidRDefault="00CF23F0" w:rsidP="00CE5C80">
      <w:pPr>
        <w:spacing w:after="0" w:line="240" w:lineRule="auto"/>
      </w:pPr>
      <w:r>
        <w:separator/>
      </w:r>
    </w:p>
  </w:footnote>
  <w:footnote w:type="continuationSeparator" w:id="0">
    <w:p w14:paraId="38AEB07A" w14:textId="77777777" w:rsidR="00CF23F0" w:rsidRDefault="00CF23F0" w:rsidP="00CE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E32"/>
    <w:multiLevelType w:val="hybridMultilevel"/>
    <w:tmpl w:val="92B22E52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9E53B9"/>
    <w:multiLevelType w:val="hybridMultilevel"/>
    <w:tmpl w:val="1E04EDB0"/>
    <w:lvl w:ilvl="0" w:tplc="424A7614">
      <w:start w:val="1"/>
      <w:numFmt w:val="lowerLetter"/>
      <w:lvlText w:val="(%1)"/>
      <w:lvlJc w:val="left"/>
      <w:pPr>
        <w:ind w:left="1778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F81FCC"/>
    <w:multiLevelType w:val="hybridMultilevel"/>
    <w:tmpl w:val="A79A5456"/>
    <w:lvl w:ilvl="0" w:tplc="C1D49AB2">
      <w:start w:val="1"/>
      <w:numFmt w:val="lowerLetter"/>
      <w:lvlText w:val="(%1)"/>
      <w:lvlJc w:val="left"/>
      <w:pPr>
        <w:ind w:left="1495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9D8"/>
    <w:multiLevelType w:val="hybridMultilevel"/>
    <w:tmpl w:val="506A46E6"/>
    <w:lvl w:ilvl="0" w:tplc="07BC36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20958"/>
    <w:multiLevelType w:val="hybridMultilevel"/>
    <w:tmpl w:val="46524B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85A"/>
    <w:multiLevelType w:val="hybridMultilevel"/>
    <w:tmpl w:val="381004D4"/>
    <w:lvl w:ilvl="0" w:tplc="AC26C7EA">
      <w:start w:val="1"/>
      <w:numFmt w:val="upp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F006F"/>
    <w:multiLevelType w:val="hybridMultilevel"/>
    <w:tmpl w:val="3EA49D78"/>
    <w:lvl w:ilvl="0" w:tplc="AA4CBAF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B064871"/>
    <w:multiLevelType w:val="hybridMultilevel"/>
    <w:tmpl w:val="CA827AF8"/>
    <w:lvl w:ilvl="0" w:tplc="1B4CB12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54074"/>
    <w:multiLevelType w:val="hybridMultilevel"/>
    <w:tmpl w:val="2CBEF54C"/>
    <w:lvl w:ilvl="0" w:tplc="200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5E69386F"/>
    <w:multiLevelType w:val="hybridMultilevel"/>
    <w:tmpl w:val="F32452C4"/>
    <w:lvl w:ilvl="0" w:tplc="200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6A01711A"/>
    <w:multiLevelType w:val="hybridMultilevel"/>
    <w:tmpl w:val="15B4F980"/>
    <w:lvl w:ilvl="0" w:tplc="55921AA4">
      <w:start w:val="1"/>
      <w:numFmt w:val="lowerRoman"/>
      <w:lvlText w:val="(%1)"/>
      <w:lvlJc w:val="left"/>
      <w:pPr>
        <w:ind w:left="1146" w:hanging="720"/>
      </w:pPr>
      <w:rPr>
        <w:rFonts w:hint="default"/>
        <w:color w:val="4472C4" w:themeColor="accent1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378E5"/>
    <w:multiLevelType w:val="hybridMultilevel"/>
    <w:tmpl w:val="2AF69F4A"/>
    <w:lvl w:ilvl="0" w:tplc="984E5A9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5" w:hanging="360"/>
      </w:pPr>
    </w:lvl>
    <w:lvl w:ilvl="2" w:tplc="2000001B" w:tentative="1">
      <w:start w:val="1"/>
      <w:numFmt w:val="lowerRoman"/>
      <w:lvlText w:val="%3."/>
      <w:lvlJc w:val="right"/>
      <w:pPr>
        <w:ind w:left="2935" w:hanging="180"/>
      </w:pPr>
    </w:lvl>
    <w:lvl w:ilvl="3" w:tplc="2000000F" w:tentative="1">
      <w:start w:val="1"/>
      <w:numFmt w:val="decimal"/>
      <w:lvlText w:val="%4."/>
      <w:lvlJc w:val="left"/>
      <w:pPr>
        <w:ind w:left="3655" w:hanging="360"/>
      </w:pPr>
    </w:lvl>
    <w:lvl w:ilvl="4" w:tplc="20000019" w:tentative="1">
      <w:start w:val="1"/>
      <w:numFmt w:val="lowerLetter"/>
      <w:lvlText w:val="%5."/>
      <w:lvlJc w:val="left"/>
      <w:pPr>
        <w:ind w:left="4375" w:hanging="360"/>
      </w:pPr>
    </w:lvl>
    <w:lvl w:ilvl="5" w:tplc="2000001B" w:tentative="1">
      <w:start w:val="1"/>
      <w:numFmt w:val="lowerRoman"/>
      <w:lvlText w:val="%6."/>
      <w:lvlJc w:val="right"/>
      <w:pPr>
        <w:ind w:left="5095" w:hanging="180"/>
      </w:pPr>
    </w:lvl>
    <w:lvl w:ilvl="6" w:tplc="2000000F" w:tentative="1">
      <w:start w:val="1"/>
      <w:numFmt w:val="decimal"/>
      <w:lvlText w:val="%7."/>
      <w:lvlJc w:val="left"/>
      <w:pPr>
        <w:ind w:left="5815" w:hanging="360"/>
      </w:pPr>
    </w:lvl>
    <w:lvl w:ilvl="7" w:tplc="20000019" w:tentative="1">
      <w:start w:val="1"/>
      <w:numFmt w:val="lowerLetter"/>
      <w:lvlText w:val="%8."/>
      <w:lvlJc w:val="left"/>
      <w:pPr>
        <w:ind w:left="6535" w:hanging="360"/>
      </w:pPr>
    </w:lvl>
    <w:lvl w:ilvl="8" w:tplc="2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A0976CF"/>
    <w:multiLevelType w:val="hybridMultilevel"/>
    <w:tmpl w:val="7E889334"/>
    <w:lvl w:ilvl="0" w:tplc="7058830E">
      <w:start w:val="1"/>
      <w:numFmt w:val="lowerRoman"/>
      <w:lvlText w:val="(%1)"/>
      <w:lvlJc w:val="left"/>
      <w:pPr>
        <w:ind w:left="720" w:hanging="72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C9"/>
    <w:rsid w:val="0000089A"/>
    <w:rsid w:val="00017E97"/>
    <w:rsid w:val="0002623D"/>
    <w:rsid w:val="00026AEF"/>
    <w:rsid w:val="00045750"/>
    <w:rsid w:val="00051CD7"/>
    <w:rsid w:val="00056442"/>
    <w:rsid w:val="00065EBC"/>
    <w:rsid w:val="00071F65"/>
    <w:rsid w:val="000733A3"/>
    <w:rsid w:val="000812AC"/>
    <w:rsid w:val="00084DDB"/>
    <w:rsid w:val="000970C7"/>
    <w:rsid w:val="000A090C"/>
    <w:rsid w:val="000A1B49"/>
    <w:rsid w:val="000A53DA"/>
    <w:rsid w:val="000B333D"/>
    <w:rsid w:val="000B39A6"/>
    <w:rsid w:val="000B5E52"/>
    <w:rsid w:val="000B63A9"/>
    <w:rsid w:val="000C5413"/>
    <w:rsid w:val="000C5431"/>
    <w:rsid w:val="000D00A2"/>
    <w:rsid w:val="000D46B7"/>
    <w:rsid w:val="000E4F27"/>
    <w:rsid w:val="000F2141"/>
    <w:rsid w:val="000F42CC"/>
    <w:rsid w:val="00100E26"/>
    <w:rsid w:val="00106081"/>
    <w:rsid w:val="001074A1"/>
    <w:rsid w:val="001123BF"/>
    <w:rsid w:val="00131470"/>
    <w:rsid w:val="00134EB6"/>
    <w:rsid w:val="001547D7"/>
    <w:rsid w:val="001570E3"/>
    <w:rsid w:val="00171198"/>
    <w:rsid w:val="00180B34"/>
    <w:rsid w:val="00190393"/>
    <w:rsid w:val="0019311C"/>
    <w:rsid w:val="00195A17"/>
    <w:rsid w:val="001964C6"/>
    <w:rsid w:val="00197441"/>
    <w:rsid w:val="001A031F"/>
    <w:rsid w:val="001A7FC7"/>
    <w:rsid w:val="001D7A21"/>
    <w:rsid w:val="001E1344"/>
    <w:rsid w:val="001E3109"/>
    <w:rsid w:val="001F4DD9"/>
    <w:rsid w:val="002012CF"/>
    <w:rsid w:val="002022BC"/>
    <w:rsid w:val="00206C42"/>
    <w:rsid w:val="0021143D"/>
    <w:rsid w:val="00213F72"/>
    <w:rsid w:val="00215791"/>
    <w:rsid w:val="002214FC"/>
    <w:rsid w:val="00224D99"/>
    <w:rsid w:val="0023326B"/>
    <w:rsid w:val="00233A20"/>
    <w:rsid w:val="0023502D"/>
    <w:rsid w:val="00240BA2"/>
    <w:rsid w:val="00241E27"/>
    <w:rsid w:val="00252244"/>
    <w:rsid w:val="002622A7"/>
    <w:rsid w:val="00262AFA"/>
    <w:rsid w:val="002804B6"/>
    <w:rsid w:val="0028107D"/>
    <w:rsid w:val="002813FD"/>
    <w:rsid w:val="00281B16"/>
    <w:rsid w:val="002828A3"/>
    <w:rsid w:val="00286D85"/>
    <w:rsid w:val="00294833"/>
    <w:rsid w:val="002A63C5"/>
    <w:rsid w:val="002B5B9C"/>
    <w:rsid w:val="002C6FE5"/>
    <w:rsid w:val="002C7ED7"/>
    <w:rsid w:val="002D3EF6"/>
    <w:rsid w:val="002E0E3B"/>
    <w:rsid w:val="002E2DC2"/>
    <w:rsid w:val="002E3673"/>
    <w:rsid w:val="002F76EF"/>
    <w:rsid w:val="00311BD3"/>
    <w:rsid w:val="003234B4"/>
    <w:rsid w:val="0032631C"/>
    <w:rsid w:val="003307A7"/>
    <w:rsid w:val="003409F8"/>
    <w:rsid w:val="0036436C"/>
    <w:rsid w:val="003675AE"/>
    <w:rsid w:val="003702FC"/>
    <w:rsid w:val="003818BB"/>
    <w:rsid w:val="00381E76"/>
    <w:rsid w:val="003C4CFF"/>
    <w:rsid w:val="003C51F3"/>
    <w:rsid w:val="003C5A50"/>
    <w:rsid w:val="003C6D0A"/>
    <w:rsid w:val="003E73EF"/>
    <w:rsid w:val="003E79CF"/>
    <w:rsid w:val="003F24EC"/>
    <w:rsid w:val="003F4BC6"/>
    <w:rsid w:val="004019AA"/>
    <w:rsid w:val="00414E1C"/>
    <w:rsid w:val="00422D4A"/>
    <w:rsid w:val="00432B27"/>
    <w:rsid w:val="00451697"/>
    <w:rsid w:val="0045345E"/>
    <w:rsid w:val="00454FBC"/>
    <w:rsid w:val="0046246D"/>
    <w:rsid w:val="00486FDA"/>
    <w:rsid w:val="00494F43"/>
    <w:rsid w:val="004A3FA5"/>
    <w:rsid w:val="004A4C32"/>
    <w:rsid w:val="004A57CD"/>
    <w:rsid w:val="004B1D3C"/>
    <w:rsid w:val="004B41F9"/>
    <w:rsid w:val="004B6A60"/>
    <w:rsid w:val="004C09CE"/>
    <w:rsid w:val="004C51E6"/>
    <w:rsid w:val="004C6E7B"/>
    <w:rsid w:val="004D5D3F"/>
    <w:rsid w:val="004F11CC"/>
    <w:rsid w:val="004F6840"/>
    <w:rsid w:val="00500305"/>
    <w:rsid w:val="0050148D"/>
    <w:rsid w:val="0051112D"/>
    <w:rsid w:val="00511CAC"/>
    <w:rsid w:val="005212D3"/>
    <w:rsid w:val="00530806"/>
    <w:rsid w:val="00533ED3"/>
    <w:rsid w:val="00540320"/>
    <w:rsid w:val="005405ED"/>
    <w:rsid w:val="00540805"/>
    <w:rsid w:val="00547E4A"/>
    <w:rsid w:val="00550DE0"/>
    <w:rsid w:val="0055338A"/>
    <w:rsid w:val="00571280"/>
    <w:rsid w:val="005824D0"/>
    <w:rsid w:val="0059143B"/>
    <w:rsid w:val="00591FCA"/>
    <w:rsid w:val="005A3C3E"/>
    <w:rsid w:val="005A7C54"/>
    <w:rsid w:val="005B1CE9"/>
    <w:rsid w:val="005E0590"/>
    <w:rsid w:val="005F1EF8"/>
    <w:rsid w:val="00607154"/>
    <w:rsid w:val="00610F74"/>
    <w:rsid w:val="00612D94"/>
    <w:rsid w:val="006139F0"/>
    <w:rsid w:val="00624007"/>
    <w:rsid w:val="00644234"/>
    <w:rsid w:val="00645AEF"/>
    <w:rsid w:val="0064699A"/>
    <w:rsid w:val="00661741"/>
    <w:rsid w:val="00663FD4"/>
    <w:rsid w:val="00672722"/>
    <w:rsid w:val="00672CFC"/>
    <w:rsid w:val="00683E84"/>
    <w:rsid w:val="006863E9"/>
    <w:rsid w:val="00687AA5"/>
    <w:rsid w:val="00693BA2"/>
    <w:rsid w:val="006A15F6"/>
    <w:rsid w:val="006C16A7"/>
    <w:rsid w:val="006E040A"/>
    <w:rsid w:val="006E455B"/>
    <w:rsid w:val="006F53EE"/>
    <w:rsid w:val="006F645D"/>
    <w:rsid w:val="007113D2"/>
    <w:rsid w:val="00717336"/>
    <w:rsid w:val="0074021C"/>
    <w:rsid w:val="00750FB2"/>
    <w:rsid w:val="00755758"/>
    <w:rsid w:val="00775703"/>
    <w:rsid w:val="00780AD7"/>
    <w:rsid w:val="0078328E"/>
    <w:rsid w:val="007A05A4"/>
    <w:rsid w:val="007A74E8"/>
    <w:rsid w:val="007B7937"/>
    <w:rsid w:val="007C57FA"/>
    <w:rsid w:val="007C62B1"/>
    <w:rsid w:val="007D0ECC"/>
    <w:rsid w:val="007E0C7C"/>
    <w:rsid w:val="007F4B85"/>
    <w:rsid w:val="007F51A4"/>
    <w:rsid w:val="0080227A"/>
    <w:rsid w:val="00821C73"/>
    <w:rsid w:val="00822984"/>
    <w:rsid w:val="0083626D"/>
    <w:rsid w:val="00836FF4"/>
    <w:rsid w:val="0083706C"/>
    <w:rsid w:val="00845866"/>
    <w:rsid w:val="00846288"/>
    <w:rsid w:val="0085555D"/>
    <w:rsid w:val="00891E17"/>
    <w:rsid w:val="008A45FC"/>
    <w:rsid w:val="008A46DB"/>
    <w:rsid w:val="008B7DE3"/>
    <w:rsid w:val="008C1CC9"/>
    <w:rsid w:val="008D1BE3"/>
    <w:rsid w:val="008D255C"/>
    <w:rsid w:val="008D28DD"/>
    <w:rsid w:val="008D5B2A"/>
    <w:rsid w:val="008E6063"/>
    <w:rsid w:val="008F0D0A"/>
    <w:rsid w:val="008F3B34"/>
    <w:rsid w:val="008F4470"/>
    <w:rsid w:val="0090350C"/>
    <w:rsid w:val="00915460"/>
    <w:rsid w:val="00920D7C"/>
    <w:rsid w:val="00921797"/>
    <w:rsid w:val="00922051"/>
    <w:rsid w:val="00922D13"/>
    <w:rsid w:val="009256E1"/>
    <w:rsid w:val="00947495"/>
    <w:rsid w:val="00957BD5"/>
    <w:rsid w:val="00975E22"/>
    <w:rsid w:val="00980186"/>
    <w:rsid w:val="009819BF"/>
    <w:rsid w:val="00987350"/>
    <w:rsid w:val="00991F4D"/>
    <w:rsid w:val="00992E3A"/>
    <w:rsid w:val="00995C46"/>
    <w:rsid w:val="009B35AB"/>
    <w:rsid w:val="009B6723"/>
    <w:rsid w:val="009B7F88"/>
    <w:rsid w:val="009F1426"/>
    <w:rsid w:val="009F1514"/>
    <w:rsid w:val="00A02A55"/>
    <w:rsid w:val="00A13225"/>
    <w:rsid w:val="00A13CA0"/>
    <w:rsid w:val="00A14551"/>
    <w:rsid w:val="00A224C1"/>
    <w:rsid w:val="00A26034"/>
    <w:rsid w:val="00A30B81"/>
    <w:rsid w:val="00A329CA"/>
    <w:rsid w:val="00A35A37"/>
    <w:rsid w:val="00A36399"/>
    <w:rsid w:val="00A36FED"/>
    <w:rsid w:val="00A379C6"/>
    <w:rsid w:val="00A42AEA"/>
    <w:rsid w:val="00A45F46"/>
    <w:rsid w:val="00A531A7"/>
    <w:rsid w:val="00A56306"/>
    <w:rsid w:val="00A60CEF"/>
    <w:rsid w:val="00A70F32"/>
    <w:rsid w:val="00A7552F"/>
    <w:rsid w:val="00A90E9F"/>
    <w:rsid w:val="00A91B80"/>
    <w:rsid w:val="00AA2874"/>
    <w:rsid w:val="00AC6F07"/>
    <w:rsid w:val="00AD7CBE"/>
    <w:rsid w:val="00AE4D6B"/>
    <w:rsid w:val="00B05134"/>
    <w:rsid w:val="00B12278"/>
    <w:rsid w:val="00B16336"/>
    <w:rsid w:val="00B24FF7"/>
    <w:rsid w:val="00B25AEE"/>
    <w:rsid w:val="00B53409"/>
    <w:rsid w:val="00B6789B"/>
    <w:rsid w:val="00B840FB"/>
    <w:rsid w:val="00B846D8"/>
    <w:rsid w:val="00B86578"/>
    <w:rsid w:val="00B925C0"/>
    <w:rsid w:val="00BA112B"/>
    <w:rsid w:val="00BB18F8"/>
    <w:rsid w:val="00BB326B"/>
    <w:rsid w:val="00BD3784"/>
    <w:rsid w:val="00BE5851"/>
    <w:rsid w:val="00BE77AE"/>
    <w:rsid w:val="00BE7BA3"/>
    <w:rsid w:val="00BF08C0"/>
    <w:rsid w:val="00C00CB5"/>
    <w:rsid w:val="00C0306B"/>
    <w:rsid w:val="00C1221E"/>
    <w:rsid w:val="00C21369"/>
    <w:rsid w:val="00C26252"/>
    <w:rsid w:val="00C43E47"/>
    <w:rsid w:val="00C45CFF"/>
    <w:rsid w:val="00C479A9"/>
    <w:rsid w:val="00C538F0"/>
    <w:rsid w:val="00C53C28"/>
    <w:rsid w:val="00C716BC"/>
    <w:rsid w:val="00C77BC9"/>
    <w:rsid w:val="00C829BC"/>
    <w:rsid w:val="00C83062"/>
    <w:rsid w:val="00CA62B7"/>
    <w:rsid w:val="00CA7F47"/>
    <w:rsid w:val="00CB22AC"/>
    <w:rsid w:val="00CB3575"/>
    <w:rsid w:val="00CB7285"/>
    <w:rsid w:val="00CC047A"/>
    <w:rsid w:val="00CC1221"/>
    <w:rsid w:val="00CC265B"/>
    <w:rsid w:val="00CC7FD0"/>
    <w:rsid w:val="00CE0595"/>
    <w:rsid w:val="00CE5C80"/>
    <w:rsid w:val="00CE6E77"/>
    <w:rsid w:val="00CF23F0"/>
    <w:rsid w:val="00CF289C"/>
    <w:rsid w:val="00CF7EA4"/>
    <w:rsid w:val="00D0749C"/>
    <w:rsid w:val="00D1006B"/>
    <w:rsid w:val="00D101FD"/>
    <w:rsid w:val="00D11696"/>
    <w:rsid w:val="00D47954"/>
    <w:rsid w:val="00D54160"/>
    <w:rsid w:val="00D5657A"/>
    <w:rsid w:val="00D60179"/>
    <w:rsid w:val="00D61E8D"/>
    <w:rsid w:val="00D65618"/>
    <w:rsid w:val="00D66BC2"/>
    <w:rsid w:val="00D67378"/>
    <w:rsid w:val="00D74A78"/>
    <w:rsid w:val="00D87628"/>
    <w:rsid w:val="00D95FFD"/>
    <w:rsid w:val="00D977E6"/>
    <w:rsid w:val="00DA5BD9"/>
    <w:rsid w:val="00DB2260"/>
    <w:rsid w:val="00DC0905"/>
    <w:rsid w:val="00DD3485"/>
    <w:rsid w:val="00DE12DF"/>
    <w:rsid w:val="00DF2B8D"/>
    <w:rsid w:val="00DF5407"/>
    <w:rsid w:val="00E0560E"/>
    <w:rsid w:val="00E231D5"/>
    <w:rsid w:val="00E24275"/>
    <w:rsid w:val="00E300FE"/>
    <w:rsid w:val="00E44DEA"/>
    <w:rsid w:val="00E52BB4"/>
    <w:rsid w:val="00E5683D"/>
    <w:rsid w:val="00E67DAD"/>
    <w:rsid w:val="00E81E7A"/>
    <w:rsid w:val="00E82A29"/>
    <w:rsid w:val="00E86F86"/>
    <w:rsid w:val="00EA79CF"/>
    <w:rsid w:val="00EB22BE"/>
    <w:rsid w:val="00ED754C"/>
    <w:rsid w:val="00EE61EF"/>
    <w:rsid w:val="00EF4F3A"/>
    <w:rsid w:val="00EF516B"/>
    <w:rsid w:val="00EF5CC2"/>
    <w:rsid w:val="00F039D5"/>
    <w:rsid w:val="00F0600B"/>
    <w:rsid w:val="00F07C59"/>
    <w:rsid w:val="00F305A8"/>
    <w:rsid w:val="00F40294"/>
    <w:rsid w:val="00F421C3"/>
    <w:rsid w:val="00F4342B"/>
    <w:rsid w:val="00F43527"/>
    <w:rsid w:val="00F44560"/>
    <w:rsid w:val="00F458A7"/>
    <w:rsid w:val="00F60019"/>
    <w:rsid w:val="00F6787E"/>
    <w:rsid w:val="00F70A93"/>
    <w:rsid w:val="00F77B13"/>
    <w:rsid w:val="00F80787"/>
    <w:rsid w:val="00F955DF"/>
    <w:rsid w:val="00F95BB3"/>
    <w:rsid w:val="00F9656C"/>
    <w:rsid w:val="00FB27E0"/>
    <w:rsid w:val="00FB7CCC"/>
    <w:rsid w:val="00FC1321"/>
    <w:rsid w:val="00FC2AE7"/>
    <w:rsid w:val="00FD2FC0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3FC5"/>
  <w15:chartTrackingRefBased/>
  <w15:docId w15:val="{35373CE7-19E0-4371-984B-CA2C39F8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5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6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6E1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0"/>
  </w:style>
  <w:style w:type="paragraph" w:styleId="Footer">
    <w:name w:val="footer"/>
    <w:basedOn w:val="Normal"/>
    <w:link w:val="FooterChar"/>
    <w:uiPriority w:val="99"/>
    <w:unhideWhenUsed/>
    <w:rsid w:val="00CE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0"/>
  </w:style>
  <w:style w:type="character" w:styleId="Hyperlink">
    <w:name w:val="Hyperlink"/>
    <w:basedOn w:val="DefaultParagraphFont"/>
    <w:uiPriority w:val="99"/>
    <w:unhideWhenUsed/>
    <w:rsid w:val="0061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83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7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of.govmu.org/English/Covid-19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cations@bom.m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vid19support@stateinvestment.m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s@bom.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062E1EBFBDE4EB346743D7E8A64F8" ma:contentTypeVersion="9" ma:contentTypeDescription="Create a new document." ma:contentTypeScope="" ma:versionID="eaf1d52c0afd5fabf67b880fdd6b5466">
  <xsd:schema xmlns:xsd="http://www.w3.org/2001/XMLSchema" xmlns:xs="http://www.w3.org/2001/XMLSchema" xmlns:p="http://schemas.microsoft.com/office/2006/metadata/properties" xmlns:ns3="2fb2f09f-2168-4c90-83b8-74dc00b37c04" targetNamespace="http://schemas.microsoft.com/office/2006/metadata/properties" ma:root="true" ma:fieldsID="ebf77c72db7e0a7e5644a611d09e8ad3" ns3:_="">
    <xsd:import namespace="2fb2f09f-2168-4c90-83b8-74dc00b37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f09f-2168-4c90-83b8-74dc00b37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A5BFB-50E0-4444-B4B3-5A122D47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f09f-2168-4c90-83b8-74dc00b37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E3EE2-C24B-4741-A808-C9F38AC12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B8B7D-F77C-4304-98D0-304148F44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 Seebaluck</dc:creator>
  <cp:keywords/>
  <dc:description/>
  <cp:lastModifiedBy>Mithila Seebaluck</cp:lastModifiedBy>
  <cp:revision>3</cp:revision>
  <dcterms:created xsi:type="dcterms:W3CDTF">2020-03-30T05:41:00Z</dcterms:created>
  <dcterms:modified xsi:type="dcterms:W3CDTF">2020-03-30T05:42:00Z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0x010100353062E1EBFBDE4EB346743D7E8A64F8</vt:lpwstr>
  </property>
</Properties>
</file>